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640" w:firstLineChars="200"/>
        <w:jc w:val="center"/>
        <w:rPr>
          <w:rFonts w:hAnsi="黑体" w:eastAsia="黑体"/>
          <w:color w:val="000000" w:themeColor="text1"/>
          <w:sz w:val="32"/>
          <w:szCs w:val="32"/>
          <w14:textFill>
            <w14:solidFill>
              <w14:schemeClr w14:val="tx1"/>
            </w14:solidFill>
          </w14:textFill>
        </w:rPr>
      </w:pPr>
    </w:p>
    <w:p>
      <w:pPr>
        <w:autoSpaceDE w:val="0"/>
        <w:autoSpaceDN w:val="0"/>
        <w:adjustRightInd w:val="0"/>
        <w:ind w:firstLine="640" w:firstLineChars="200"/>
        <w:jc w:val="center"/>
        <w:rPr>
          <w:rFonts w:hAnsi="黑体" w:eastAsia="黑体"/>
          <w:color w:val="000000" w:themeColor="text1"/>
          <w:sz w:val="32"/>
          <w:szCs w:val="32"/>
          <w14:textFill>
            <w14:solidFill>
              <w14:schemeClr w14:val="tx1"/>
            </w14:solidFill>
          </w14:textFill>
        </w:rPr>
      </w:pPr>
      <w:r>
        <w:rPr>
          <w:rFonts w:hAnsi="黑体" w:eastAsia="黑体"/>
          <w:color w:val="000000" w:themeColor="text1"/>
          <w:sz w:val="32"/>
          <w:szCs w:val="32"/>
          <w14:textFill>
            <w14:solidFill>
              <w14:schemeClr w14:val="tx1"/>
            </w14:solidFill>
          </w14:textFill>
        </w:rPr>
        <w:t>国际经济与贸易</w:t>
      </w:r>
      <w:r>
        <w:rPr>
          <w:rFonts w:hint="eastAsia" w:hAnsi="黑体" w:eastAsia="黑体"/>
          <w:color w:val="000000" w:themeColor="text1"/>
          <w:sz w:val="32"/>
          <w:szCs w:val="32"/>
          <w14:textFill>
            <w14:solidFill>
              <w14:schemeClr w14:val="tx1"/>
            </w14:solidFill>
          </w14:textFill>
        </w:rPr>
        <w:t>辅修</w:t>
      </w:r>
      <w:r>
        <w:rPr>
          <w:rFonts w:hAnsi="黑体" w:eastAsia="黑体"/>
          <w:color w:val="000000" w:themeColor="text1"/>
          <w:sz w:val="32"/>
          <w:szCs w:val="32"/>
          <w14:textFill>
            <w14:solidFill>
              <w14:schemeClr w14:val="tx1"/>
            </w14:solidFill>
          </w14:textFill>
        </w:rPr>
        <w:t>专业</w:t>
      </w:r>
      <w:r>
        <w:rPr>
          <w:rFonts w:hint="eastAsia" w:hAnsi="黑体" w:eastAsia="黑体"/>
          <w:color w:val="000000" w:themeColor="text1"/>
          <w:sz w:val="32"/>
          <w:szCs w:val="32"/>
          <w14:textFill>
            <w14:solidFill>
              <w14:schemeClr w14:val="tx1"/>
            </w14:solidFill>
          </w14:textFill>
        </w:rPr>
        <w:t>（跨境电商方向）</w:t>
      </w:r>
      <w:r>
        <w:rPr>
          <w:rFonts w:hAnsi="黑体" w:eastAsia="黑体"/>
          <w:color w:val="000000" w:themeColor="text1"/>
          <w:sz w:val="32"/>
          <w:szCs w:val="32"/>
          <w14:textFill>
            <w14:solidFill>
              <w14:schemeClr w14:val="tx1"/>
            </w14:solidFill>
          </w14:textFill>
        </w:rPr>
        <w:t>培养</w:t>
      </w:r>
      <w:r>
        <w:rPr>
          <w:rFonts w:hint="eastAsia" w:hAnsi="黑体" w:eastAsia="黑体"/>
          <w:color w:val="000000" w:themeColor="text1"/>
          <w:sz w:val="32"/>
          <w:szCs w:val="32"/>
          <w14:textFill>
            <w14:solidFill>
              <w14:schemeClr w14:val="tx1"/>
            </w14:solidFill>
          </w14:textFill>
        </w:rPr>
        <w:t>方案</w:t>
      </w:r>
    </w:p>
    <w:p>
      <w:pPr>
        <w:autoSpaceDE w:val="0"/>
        <w:autoSpaceDN w:val="0"/>
        <w:adjustRightInd w:val="0"/>
        <w:ind w:firstLine="480" w:firstLineChars="200"/>
        <w:jc w:val="center"/>
        <w:rPr>
          <w:rFonts w:hAnsi="黑体" w:eastAsia="黑体"/>
          <w:color w:val="000000" w:themeColor="text1"/>
          <w:sz w:val="24"/>
          <w14:textFill>
            <w14:solidFill>
              <w14:schemeClr w14:val="tx1"/>
            </w14:solidFill>
          </w14:textFill>
        </w:rPr>
      </w:pPr>
      <w:r>
        <w:rPr>
          <w:rFonts w:hAnsi="黑体" w:eastAsia="黑体"/>
          <w:color w:val="000000" w:themeColor="text1"/>
          <w:sz w:val="24"/>
          <w14:textFill>
            <w14:solidFill>
              <w14:schemeClr w14:val="tx1"/>
            </w14:solidFill>
          </w14:textFill>
        </w:rPr>
        <w:t>International Economics and Trade</w:t>
      </w:r>
    </w:p>
    <w:p>
      <w:pPr>
        <w:autoSpaceDE w:val="0"/>
        <w:autoSpaceDN w:val="0"/>
        <w:adjustRightInd w:val="0"/>
        <w:ind w:firstLine="480" w:firstLineChars="200"/>
        <w:jc w:val="center"/>
        <w:rPr>
          <w:rFonts w:hAnsi="黑体" w:eastAsia="黑体"/>
          <w:color w:val="000000" w:themeColor="text1"/>
          <w:sz w:val="24"/>
          <w14:textFill>
            <w14:solidFill>
              <w14:schemeClr w14:val="tx1"/>
            </w14:solidFill>
          </w14:textFill>
        </w:rPr>
      </w:pPr>
    </w:p>
    <w:p>
      <w:pPr>
        <w:autoSpaceDE w:val="0"/>
        <w:autoSpaceDN w:val="0"/>
        <w:adjustRightInd w:val="0"/>
        <w:ind w:firstLine="480" w:firstLineChars="200"/>
        <w:jc w:val="center"/>
        <w:rPr>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 xml:space="preserve">学科门类：经济学 </w:t>
      </w:r>
      <w:r>
        <w:rPr>
          <w:rFonts w:hAnsi="黑体" w:eastAsia="黑体"/>
          <w:color w:val="000000" w:themeColor="text1"/>
          <w:sz w:val="24"/>
          <w14:textFill>
            <w14:solidFill>
              <w14:schemeClr w14:val="tx1"/>
            </w14:solidFill>
          </w14:textFill>
        </w:rPr>
        <w:t xml:space="preserve"> </w:t>
      </w:r>
      <w:r>
        <w:rPr>
          <w:rFonts w:hint="eastAsia" w:hAnsi="黑体" w:eastAsia="黑体"/>
          <w:color w:val="000000" w:themeColor="text1"/>
          <w:sz w:val="24"/>
          <w14:textFill>
            <w14:solidFill>
              <w14:schemeClr w14:val="tx1"/>
            </w14:solidFill>
          </w14:textFill>
        </w:rPr>
        <w:t>专业代码：020401</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一、</w:t>
      </w:r>
      <w:r>
        <w:rPr>
          <w:rFonts w:hint="eastAsia" w:eastAsia="黑体"/>
          <w:color w:val="000000" w:themeColor="text1"/>
          <w:sz w:val="24"/>
          <w14:textFill>
            <w14:solidFill>
              <w14:schemeClr w14:val="tx1"/>
            </w14:solidFill>
          </w14:textFill>
        </w:rPr>
        <w:t>培养目标</w:t>
      </w:r>
    </w:p>
    <w:p>
      <w:pPr>
        <w:ind w:firstLine="420" w:firstLineChars="200"/>
        <w:contextualSpacing/>
        <w:textAlignment w:val="baseline"/>
        <w:rPr>
          <w:rFonts w:hAnsi="宋体"/>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本专业旨在培养</w:t>
      </w:r>
      <w:r>
        <w:rPr>
          <w:rFonts w:hint="eastAsia" w:hAnsi="宋体"/>
          <w:color w:val="000000" w:themeColor="text1"/>
          <w:kern w:val="0"/>
          <w:szCs w:val="21"/>
          <w14:textFill>
            <w14:solidFill>
              <w14:schemeClr w14:val="tx1"/>
            </w14:solidFill>
          </w14:textFill>
        </w:rPr>
        <w:t>具有社会主义核心价值观和良好的思想道德修养、</w:t>
      </w:r>
      <w:r>
        <w:rPr>
          <w:rFonts w:hAnsi="宋体"/>
          <w:color w:val="000000" w:themeColor="text1"/>
          <w:kern w:val="0"/>
          <w:szCs w:val="21"/>
          <w14:textFill>
            <w14:solidFill>
              <w14:schemeClr w14:val="tx1"/>
            </w14:solidFill>
          </w14:textFill>
        </w:rPr>
        <w:t>系统掌握国际经济与贸易</w:t>
      </w:r>
      <w:r>
        <w:rPr>
          <w:rFonts w:hint="eastAsia" w:hAnsi="宋体"/>
          <w:color w:val="000000" w:themeColor="text1"/>
          <w:kern w:val="0"/>
          <w:szCs w:val="21"/>
          <w14:textFill>
            <w14:solidFill>
              <w14:schemeClr w14:val="tx1"/>
            </w14:solidFill>
          </w14:textFill>
        </w:rPr>
        <w:t>专业基本理论和方法</w:t>
      </w:r>
      <w:r>
        <w:rPr>
          <w:rFonts w:hAnsi="宋体"/>
          <w:color w:val="000000" w:themeColor="text1"/>
          <w:kern w:val="0"/>
          <w:szCs w:val="21"/>
          <w14:textFill>
            <w14:solidFill>
              <w14:schemeClr w14:val="tx1"/>
            </w14:solidFill>
          </w14:textFill>
        </w:rPr>
        <w:t>，熟悉国际</w:t>
      </w:r>
      <w:r>
        <w:rPr>
          <w:rFonts w:hint="eastAsia" w:hAnsi="宋体"/>
          <w:color w:val="000000" w:themeColor="text1"/>
          <w:kern w:val="0"/>
          <w:szCs w:val="21"/>
          <w14:textFill>
            <w14:solidFill>
              <w14:schemeClr w14:val="tx1"/>
            </w14:solidFill>
          </w14:textFill>
        </w:rPr>
        <w:t>通行的</w:t>
      </w:r>
      <w:r>
        <w:rPr>
          <w:rFonts w:hAnsi="宋体"/>
          <w:color w:val="000000" w:themeColor="text1"/>
          <w:kern w:val="0"/>
          <w:szCs w:val="21"/>
          <w14:textFill>
            <w14:solidFill>
              <w14:schemeClr w14:val="tx1"/>
            </w14:solidFill>
          </w14:textFill>
        </w:rPr>
        <w:t>经济与贸易规则</w:t>
      </w:r>
      <w:r>
        <w:rPr>
          <w:rFonts w:hint="eastAsia" w:hAnsi="宋体"/>
          <w:color w:val="000000" w:themeColor="text1"/>
          <w:kern w:val="0"/>
          <w:szCs w:val="21"/>
          <w14:textFill>
            <w14:solidFill>
              <w14:schemeClr w14:val="tx1"/>
            </w14:solidFill>
          </w14:textFill>
        </w:rPr>
        <w:t>与</w:t>
      </w:r>
      <w:r>
        <w:rPr>
          <w:rFonts w:hAnsi="宋体"/>
          <w:color w:val="000000" w:themeColor="text1"/>
          <w:kern w:val="0"/>
          <w:szCs w:val="21"/>
          <w14:textFill>
            <w14:solidFill>
              <w14:schemeClr w14:val="tx1"/>
            </w14:solidFill>
          </w14:textFill>
        </w:rPr>
        <w:t>惯例，了解主要国家与地区的贸易政策，</w:t>
      </w:r>
      <w:r>
        <w:rPr>
          <w:rFonts w:hint="eastAsia" w:hAnsi="宋体"/>
          <w:color w:val="000000" w:themeColor="text1"/>
          <w:kern w:val="0"/>
          <w:szCs w:val="21"/>
          <w14:textFill>
            <w14:solidFill>
              <w14:schemeClr w14:val="tx1"/>
            </w14:solidFill>
          </w14:textFill>
        </w:rPr>
        <w:t>能够熟练应用现代信息技术并具有较强的中英文表达能力，既具有全球视野和完备的专业知识体系，又能从事具体的国际经贸业务以及跨境电商实操的</w:t>
      </w:r>
      <w:r>
        <w:rPr>
          <w:rFonts w:hint="eastAsia"/>
          <w:color w:val="000000" w:themeColor="text1"/>
          <w14:textFill>
            <w14:solidFill>
              <w14:schemeClr w14:val="tx1"/>
            </w14:solidFill>
          </w14:textFill>
        </w:rPr>
        <w:t>有社会责任、有创新精神、有专门知识、有实践能力、有健康身心的高素质的</w:t>
      </w:r>
      <w:r>
        <w:rPr>
          <w:rFonts w:hint="eastAsia"/>
          <w:color w:val="000000" w:themeColor="text1"/>
          <w:szCs w:val="21"/>
          <w14:textFill>
            <w14:solidFill>
              <w14:schemeClr w14:val="tx1"/>
            </w14:solidFill>
          </w14:textFill>
        </w:rPr>
        <w:t>应用型外经贸人才</w:t>
      </w:r>
      <w:r>
        <w:rPr>
          <w:rFonts w:hAnsi="宋体"/>
          <w:color w:val="000000" w:themeColor="text1"/>
          <w:kern w:val="0"/>
          <w:szCs w:val="21"/>
          <w14:textFill>
            <w14:solidFill>
              <w14:schemeClr w14:val="tx1"/>
            </w14:solidFill>
          </w14:textFill>
        </w:rPr>
        <w:t>。</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二、毕业要求</w:t>
      </w:r>
    </w:p>
    <w:p>
      <w:pPr>
        <w:pStyle w:val="3"/>
        <w:spacing w:before="42" w:line="276" w:lineRule="auto"/>
        <w:ind w:left="0" w:right="226" w:firstLine="420" w:firstLineChars="200"/>
        <w:rPr>
          <w:color w:val="000000" w:themeColor="text1"/>
          <w:szCs w:val="22"/>
          <w14:textFill>
            <w14:solidFill>
              <w14:schemeClr w14:val="tx1"/>
            </w14:solidFill>
          </w14:textFill>
        </w:rPr>
      </w:pPr>
      <w:r>
        <w:rPr>
          <w:color w:val="000000" w:themeColor="text1"/>
          <w:szCs w:val="22"/>
          <w14:textFill>
            <w14:solidFill>
              <w14:schemeClr w14:val="tx1"/>
            </w14:solidFill>
          </w14:textFill>
        </w:rPr>
        <w:t>本专业学生</w:t>
      </w:r>
      <w:r>
        <w:rPr>
          <w:rFonts w:hint="eastAsia"/>
          <w:color w:val="000000" w:themeColor="text1"/>
          <w:szCs w:val="22"/>
          <w14:textFill>
            <w14:solidFill>
              <w14:schemeClr w14:val="tx1"/>
            </w14:solidFill>
          </w14:textFill>
        </w:rPr>
        <w:t>通过</w:t>
      </w:r>
      <w:r>
        <w:rPr>
          <w:color w:val="000000" w:themeColor="text1"/>
          <w:szCs w:val="22"/>
          <w14:textFill>
            <w14:solidFill>
              <w14:schemeClr w14:val="tx1"/>
            </w14:solidFill>
          </w14:textFill>
        </w:rPr>
        <w:t>学习</w:t>
      </w:r>
      <w:r>
        <w:rPr>
          <w:rFonts w:hint="eastAsia"/>
          <w:color w:val="000000" w:themeColor="text1"/>
          <w:szCs w:val="22"/>
          <w14:textFill>
            <w14:solidFill>
              <w14:schemeClr w14:val="tx1"/>
            </w14:solidFill>
          </w14:textFill>
        </w:rPr>
        <w:t>经济学</w:t>
      </w:r>
      <w:r>
        <w:rPr>
          <w:color w:val="000000" w:themeColor="text1"/>
          <w:szCs w:val="22"/>
          <w14:textFill>
            <w14:solidFill>
              <w14:schemeClr w14:val="tx1"/>
            </w14:solidFill>
          </w14:textFill>
        </w:rPr>
        <w:t>、</w:t>
      </w:r>
      <w:r>
        <w:rPr>
          <w:rFonts w:hint="eastAsia"/>
          <w:color w:val="000000" w:themeColor="text1"/>
          <w:szCs w:val="22"/>
          <w14:textFill>
            <w14:solidFill>
              <w14:schemeClr w14:val="tx1"/>
            </w14:solidFill>
          </w14:textFill>
        </w:rPr>
        <w:t>国际贸易理论、国际贸易实务以及国际贸易单证等</w:t>
      </w:r>
      <w:r>
        <w:rPr>
          <w:color w:val="000000" w:themeColor="text1"/>
          <w:szCs w:val="22"/>
          <w14:textFill>
            <w14:solidFill>
              <w14:schemeClr w14:val="tx1"/>
            </w14:solidFill>
          </w14:textFill>
        </w:rPr>
        <w:t>方面的</w:t>
      </w:r>
      <w:r>
        <w:rPr>
          <w:rFonts w:hint="eastAsia"/>
          <w:color w:val="000000" w:themeColor="text1"/>
          <w:szCs w:val="22"/>
          <w14:textFill>
            <w14:solidFill>
              <w14:schemeClr w14:val="tx1"/>
            </w14:solidFill>
          </w14:textFill>
        </w:rPr>
        <w:t>基础知识和基本理论</w:t>
      </w:r>
      <w:r>
        <w:rPr>
          <w:color w:val="000000" w:themeColor="text1"/>
          <w:szCs w:val="22"/>
          <w14:textFill>
            <w14:solidFill>
              <w14:schemeClr w14:val="tx1"/>
            </w14:solidFill>
          </w14:textFill>
        </w:rPr>
        <w:t>，</w:t>
      </w:r>
      <w:r>
        <w:rPr>
          <w:rFonts w:hint="eastAsia"/>
          <w:color w:val="000000" w:themeColor="text1"/>
          <w:szCs w:val="22"/>
          <w14:textFill>
            <w14:solidFill>
              <w14:schemeClr w14:val="tx1"/>
            </w14:solidFill>
          </w14:textFill>
        </w:rPr>
        <w:t>接受国际贸易业务的基本</w:t>
      </w:r>
      <w:r>
        <w:rPr>
          <w:color w:val="000000" w:themeColor="text1"/>
          <w:szCs w:val="22"/>
          <w14:textFill>
            <w14:solidFill>
              <w14:schemeClr w14:val="tx1"/>
            </w14:solidFill>
          </w14:textFill>
        </w:rPr>
        <w:t>训练，</w:t>
      </w:r>
      <w:r>
        <w:rPr>
          <w:rFonts w:hint="eastAsia"/>
          <w:color w:val="000000" w:themeColor="text1"/>
          <w:szCs w:val="22"/>
          <w14:textFill>
            <w14:solidFill>
              <w14:schemeClr w14:val="tx1"/>
            </w14:solidFill>
          </w14:textFill>
        </w:rPr>
        <w:t>掌握从事国际经济活动所需的基本的分析能力和从事国际经贸业务以及跨境电商实操技能，并</w:t>
      </w:r>
      <w:r>
        <w:rPr>
          <w:color w:val="000000" w:themeColor="text1"/>
          <w:szCs w:val="22"/>
          <w14:textFill>
            <w14:solidFill>
              <w14:schemeClr w14:val="tx1"/>
            </w14:solidFill>
          </w14:textFill>
        </w:rPr>
        <w:t>熟练掌握一门外语；具备传统文化修养、公民道德素养及社会责任和健康的心理和身体素质。</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1知识要求</w:t>
      </w:r>
    </w:p>
    <w:p>
      <w:pPr>
        <w:ind w:firstLine="420" w:firstLineChars="200"/>
        <w:contextualSpacing/>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1.1 具备一定的文学、历史、哲学</w:t>
      </w:r>
      <w:r>
        <w:rPr>
          <w:color w:val="000000" w:themeColor="text1"/>
          <w:kern w:val="0"/>
          <w:szCs w:val="21"/>
          <w14:textFill>
            <w14:solidFill>
              <w14:schemeClr w14:val="tx1"/>
            </w14:solidFill>
          </w14:textFill>
        </w:rPr>
        <w:t>、艺术、</w:t>
      </w:r>
      <w:r>
        <w:rPr>
          <w:rFonts w:hint="eastAsia"/>
          <w:color w:val="000000" w:themeColor="text1"/>
          <w:kern w:val="0"/>
          <w:szCs w:val="21"/>
          <w14:textFill>
            <w14:solidFill>
              <w14:schemeClr w14:val="tx1"/>
            </w14:solidFill>
          </w14:textFill>
        </w:rPr>
        <w:t>管理、自然科学、法律以及健康方面的</w:t>
      </w:r>
      <w:r>
        <w:rPr>
          <w:color w:val="000000" w:themeColor="text1"/>
          <w:kern w:val="0"/>
          <w:szCs w:val="21"/>
          <w14:textFill>
            <w14:solidFill>
              <w14:schemeClr w14:val="tx1"/>
            </w14:solidFill>
          </w14:textFill>
        </w:rPr>
        <w:t>基础知识。</w:t>
      </w:r>
    </w:p>
    <w:p>
      <w:pPr>
        <w:ind w:firstLine="420" w:firstLineChars="200"/>
        <w:contextualSpacing/>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1.2 具备互联网、办公软件相关知识和较强的英语基础。</w:t>
      </w:r>
    </w:p>
    <w:p>
      <w:pPr>
        <w:pStyle w:val="3"/>
        <w:spacing w:before="0"/>
        <w:ind w:left="0" w:right="226"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1.3 掌握</w:t>
      </w:r>
      <w:r>
        <w:rPr>
          <w:color w:val="000000" w:themeColor="text1"/>
          <w:kern w:val="0"/>
          <w:szCs w:val="21"/>
          <w14:textFill>
            <w14:solidFill>
              <w14:schemeClr w14:val="tx1"/>
            </w14:solidFill>
          </w14:textFill>
        </w:rPr>
        <w:t>经济学</w:t>
      </w:r>
      <w:r>
        <w:rPr>
          <w:rFonts w:hint="eastAsia"/>
          <w:color w:val="000000" w:themeColor="text1"/>
          <w:kern w:val="0"/>
          <w:szCs w:val="21"/>
          <w14:textFill>
            <w14:solidFill>
              <w14:schemeClr w14:val="tx1"/>
            </w14:solidFill>
          </w14:textFill>
        </w:rPr>
        <w:t>等基本</w:t>
      </w:r>
      <w:r>
        <w:rPr>
          <w:color w:val="000000" w:themeColor="text1"/>
          <w:kern w:val="0"/>
          <w:szCs w:val="21"/>
          <w14:textFill>
            <w14:solidFill>
              <w14:schemeClr w14:val="tx1"/>
            </w14:solidFill>
          </w14:textFill>
        </w:rPr>
        <w:t>理论</w:t>
      </w:r>
      <w:r>
        <w:rPr>
          <w:rFonts w:hint="eastAsia"/>
          <w:color w:val="000000" w:themeColor="text1"/>
          <w:kern w:val="0"/>
          <w:szCs w:val="21"/>
          <w14:textFill>
            <w14:solidFill>
              <w14:schemeClr w14:val="tx1"/>
            </w14:solidFill>
          </w14:textFill>
        </w:rPr>
        <w:t>和分析方法。</w:t>
      </w:r>
    </w:p>
    <w:p>
      <w:pPr>
        <w:pStyle w:val="3"/>
        <w:spacing w:before="0"/>
        <w:ind w:left="0" w:right="226"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1.4 掌握主要的贸易规则和惯例、国家相关政策和法规、进出口业务主要流程及跨境电商操作与运营等领域的业务知识，熟悉国际商务英文文书的写作规范。</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2能力要求</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2.1 掌握本专业知识体系结构和学习方法，能够利用信息技术手段自我学习和更新专业知识。</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2.2 能够利用本专业的基础知识、基本原理和基本方法，分析和研究经营环境和具体的业务问题，并能够提出合理的解决方案和对策。</w:t>
      </w:r>
    </w:p>
    <w:p>
      <w:pPr>
        <w:ind w:firstLine="435"/>
        <w:rPr>
          <w:color w:val="000000" w:themeColor="text1"/>
          <w14:textFill>
            <w14:solidFill>
              <w14:schemeClr w14:val="tx1"/>
            </w14:solidFill>
          </w14:textFill>
        </w:rPr>
      </w:pPr>
      <w:r>
        <w:rPr>
          <w:rFonts w:hint="eastAsia"/>
          <w:color w:val="000000" w:themeColor="text1"/>
          <w14:textFill>
            <w14:solidFill>
              <w14:schemeClr w14:val="tx1"/>
            </w14:solidFill>
          </w14:textFill>
        </w:rPr>
        <w:t>2.3 具有独立思考和创新意识，并利用所学理论和方法创造性地分析和解决问题。</w:t>
      </w:r>
    </w:p>
    <w:p>
      <w:pPr>
        <w:ind w:firstLine="435"/>
        <w:rPr>
          <w:color w:val="000000" w:themeColor="text1"/>
          <w14:textFill>
            <w14:solidFill>
              <w14:schemeClr w14:val="tx1"/>
            </w14:solidFill>
          </w14:textFill>
        </w:rPr>
      </w:pPr>
      <w:r>
        <w:rPr>
          <w:rFonts w:hint="eastAsia"/>
          <w:color w:val="000000" w:themeColor="text1"/>
          <w14:textFill>
            <w14:solidFill>
              <w14:schemeClr w14:val="tx1"/>
            </w14:solidFill>
          </w14:textFill>
        </w:rPr>
        <w:t>2.4 具备较强的英语读、说、听、写、译等能力和中外沟通和交流能力。</w:t>
      </w:r>
      <w:r>
        <w:rPr>
          <w:color w:val="000000" w:themeColor="text1"/>
          <w14:textFill>
            <w14:solidFill>
              <w14:schemeClr w14:val="tx1"/>
            </w14:solidFill>
          </w14:textFill>
        </w:rPr>
        <w:t xml:space="preserve"> </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3素质要求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3.1爱党、爱国、爱社会主义，诚实守信、遵纪守法，爱岗敬业、团结协作，有正确的世界观、人生观、价值观。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3.2 具有良好的人文和艺术修养、审美情趣及文字、语言表达能力，具有全球化视野，掌握基本的自然科学常识，对中外优秀传统文化与思想有一定的了解。</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3.3 具有良好的经济学专业素质，具备使用专业方法研究现实问题和从事具体的国际商务活动的基本素质 。</w:t>
      </w:r>
    </w:p>
    <w:p>
      <w:pPr>
        <w:ind w:firstLine="435"/>
        <w:rPr>
          <w:color w:val="000000" w:themeColor="text1"/>
          <w14:textFill>
            <w14:solidFill>
              <w14:schemeClr w14:val="tx1"/>
            </w14:solidFill>
          </w14:textFill>
        </w:rPr>
      </w:pPr>
      <w:r>
        <w:rPr>
          <w:rFonts w:hint="eastAsia"/>
          <w:color w:val="000000" w:themeColor="text1"/>
          <w14:textFill>
            <w14:solidFill>
              <w14:schemeClr w14:val="tx1"/>
            </w14:solidFill>
          </w14:textFill>
        </w:rPr>
        <w:t>3.4具有健全的人格、强壮的体魄、良好的道德修养、心理素质和行为习惯，有较强的适应能力、承受能力，富有进取精神和创新意识。</w:t>
      </w:r>
    </w:p>
    <w:p>
      <w:pPr>
        <w:ind w:firstLine="435"/>
        <w:rPr>
          <w:color w:val="000000" w:themeColor="text1"/>
          <w14:textFill>
            <w14:solidFill>
              <w14:schemeClr w14:val="tx1"/>
            </w14:solidFill>
          </w14:textFill>
        </w:rPr>
      </w:pP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三</w:t>
      </w:r>
      <w:r>
        <w:rPr>
          <w:rFonts w:eastAsia="黑体"/>
          <w:color w:val="000000" w:themeColor="text1"/>
          <w:sz w:val="24"/>
          <w14:textFill>
            <w14:solidFill>
              <w14:schemeClr w14:val="tx1"/>
            </w14:solidFill>
          </w14:textFill>
        </w:rPr>
        <w:t>、主干学科及核心课程</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主干学科：理论经济学、应用经济学</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核心课程：微观经济学、宏观经济学、国际贸易学、</w:t>
      </w:r>
      <w:r>
        <w:rPr>
          <w:rFonts w:hint="eastAsia"/>
          <w:color w:val="000000" w:themeColor="text1"/>
          <w14:textFill>
            <w14:solidFill>
              <w14:schemeClr w14:val="tx1"/>
            </w14:solidFill>
          </w14:textFill>
        </w:rPr>
        <w:t>国际贸易实务、跨境电商理论与实务、国际市场学、</w:t>
      </w:r>
      <w:r>
        <w:rPr>
          <w:color w:val="000000" w:themeColor="text1"/>
          <w14:textFill>
            <w14:solidFill>
              <w14:schemeClr w14:val="tx1"/>
            </w14:solidFill>
          </w14:textFill>
        </w:rPr>
        <w:t>国际金融、</w:t>
      </w:r>
      <w:r>
        <w:rPr>
          <w:rFonts w:hint="eastAsia"/>
          <w:color w:val="000000" w:themeColor="text1"/>
          <w14:textFill>
            <w14:solidFill>
              <w14:schemeClr w14:val="tx1"/>
            </w14:solidFill>
          </w14:textFill>
        </w:rPr>
        <w:t>国际商务、国际商务函电等。</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w:t>
      </w:r>
      <w:r>
        <w:rPr>
          <w:rFonts w:eastAsia="黑体"/>
          <w:color w:val="000000" w:themeColor="text1"/>
          <w:sz w:val="24"/>
          <w14:textFill>
            <w14:solidFill>
              <w14:schemeClr w14:val="tx1"/>
            </w14:solidFill>
          </w14:textFill>
        </w:rPr>
        <w:t>主要实践性教学环节</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国际贸易单证实务课程设计、国际商务综合实训、跨境电商综合实训、</w:t>
      </w:r>
      <w:r>
        <w:rPr>
          <w:color w:val="000000" w:themeColor="text1"/>
          <w14:textFill>
            <w14:solidFill>
              <w14:schemeClr w14:val="tx1"/>
            </w14:solidFill>
          </w14:textFill>
        </w:rPr>
        <w:t>毕业论文与毕业设计、毕业实习</w:t>
      </w:r>
      <w:r>
        <w:rPr>
          <w:rFonts w:hint="eastAsia"/>
          <w:color w:val="000000" w:themeColor="text1"/>
          <w14:textFill>
            <w14:solidFill>
              <w14:schemeClr w14:val="tx1"/>
            </w14:solidFill>
          </w14:textFill>
        </w:rPr>
        <w:t>。</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五</w:t>
      </w:r>
      <w:r>
        <w:rPr>
          <w:rFonts w:eastAsia="黑体"/>
          <w:color w:val="000000" w:themeColor="text1"/>
          <w:sz w:val="24"/>
          <w14:textFill>
            <w14:solidFill>
              <w14:schemeClr w14:val="tx1"/>
            </w14:solidFill>
          </w14:textFill>
        </w:rPr>
        <w:t>、毕业及学位要求</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标准学制3年，</w:t>
      </w:r>
      <w:r>
        <w:rPr>
          <w:color w:val="000000" w:themeColor="text1"/>
          <w14:textFill>
            <w14:solidFill>
              <w14:schemeClr w14:val="tx1"/>
            </w14:solidFill>
          </w14:textFill>
        </w:rPr>
        <w:t>学生应修满</w:t>
      </w:r>
      <w:r>
        <w:rPr>
          <w:rFonts w:hint="eastAsia"/>
          <w:color w:val="000000" w:themeColor="text1"/>
          <w14:textFill>
            <w14:solidFill>
              <w14:schemeClr w14:val="tx1"/>
            </w14:solidFill>
          </w14:textFill>
        </w:rPr>
        <w:t>不少于62</w:t>
      </w:r>
      <w:r>
        <w:rPr>
          <w:color w:val="000000" w:themeColor="text1"/>
          <w14:textFill>
            <w14:solidFill>
              <w14:schemeClr w14:val="tx1"/>
            </w14:solidFill>
          </w14:textFill>
        </w:rPr>
        <w:t>学分，授予经济学学士学位。</w:t>
      </w:r>
    </w:p>
    <w:p>
      <w:pPr>
        <w:numPr>
          <w:ilvl w:val="0"/>
          <w:numId w:val="1"/>
        </w:num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课程比例结构</w:t>
      </w:r>
    </w:p>
    <w:tbl>
      <w:tblPr>
        <w:tblStyle w:val="9"/>
        <w:tblW w:w="6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8"/>
        <w:gridCol w:w="126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44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课程性质</w:t>
            </w:r>
          </w:p>
        </w:tc>
        <w:tc>
          <w:tcPr>
            <w:tcW w:w="234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课程类别</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应修学分</w:t>
            </w:r>
          </w:p>
        </w:tc>
        <w:tc>
          <w:tcPr>
            <w:tcW w:w="1121"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1440"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必修</w:t>
            </w: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通识教育必修课程</w:t>
            </w:r>
          </w:p>
        </w:tc>
        <w:tc>
          <w:tcPr>
            <w:tcW w:w="1260" w:type="dxa"/>
            <w:vAlign w:val="center"/>
          </w:tcPr>
          <w:p>
            <w:pPr>
              <w:jc w:val="center"/>
              <w:rPr>
                <w:color w:val="000000" w:themeColor="text1"/>
                <w:szCs w:val="21"/>
                <w14:textFill>
                  <w14:solidFill>
                    <w14:schemeClr w14:val="tx1"/>
                  </w14:solidFill>
                </w14:textFill>
              </w:rPr>
            </w:pPr>
          </w:p>
        </w:tc>
        <w:tc>
          <w:tcPr>
            <w:tcW w:w="1121"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学科基础课</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121" w:type="dxa"/>
            <w:vAlign w:val="center"/>
          </w:tcPr>
          <w:p>
            <w:pPr>
              <w:ind w:right="210"/>
              <w:jc w:val="right"/>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11.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专业主干课程</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1</w:t>
            </w:r>
          </w:p>
        </w:tc>
        <w:tc>
          <w:tcPr>
            <w:tcW w:w="1121" w:type="dxa"/>
            <w:vAlign w:val="center"/>
          </w:tcPr>
          <w:p>
            <w:pPr>
              <w:ind w:right="210"/>
              <w:jc w:val="right"/>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实践环节</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1121" w:type="dxa"/>
            <w:vAlign w:val="center"/>
          </w:tcPr>
          <w:p>
            <w:pPr>
              <w:ind w:right="210"/>
              <w:jc w:val="right"/>
              <w:rPr>
                <w:rFonts w:ascii="宋体" w:hAnsi="宋体" w:cs="宋体"/>
                <w:color w:val="000000" w:themeColor="text1"/>
                <w:sz w:val="24"/>
                <w14:textFill>
                  <w14:solidFill>
                    <w14:schemeClr w14:val="tx1"/>
                  </w14:solidFill>
                </w14:textFill>
              </w:rPr>
            </w:pPr>
            <w:r>
              <w:rPr>
                <w:color w:val="000000" w:themeColor="text1"/>
                <w14:textFill>
                  <w14:solidFill>
                    <w14:schemeClr w14:val="tx1"/>
                  </w14:solidFill>
                </w14:textFill>
              </w:rPr>
              <w:t>36.6</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440"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选修</w:t>
            </w: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olor w:val="000000" w:themeColor="text1"/>
                <w:sz w:val="20"/>
                <w:szCs w:val="20"/>
                <w14:textFill>
                  <w14:solidFill>
                    <w14:schemeClr w14:val="tx1"/>
                  </w14:solidFill>
                </w14:textFill>
              </w:rPr>
              <w:t>通识教育核心课程</w:t>
            </w:r>
          </w:p>
        </w:tc>
        <w:tc>
          <w:tcPr>
            <w:tcW w:w="1260" w:type="dxa"/>
            <w:vAlign w:val="center"/>
          </w:tcPr>
          <w:p>
            <w:pPr>
              <w:jc w:val="center"/>
              <w:rPr>
                <w:color w:val="000000" w:themeColor="text1"/>
                <w:szCs w:val="21"/>
                <w14:textFill>
                  <w14:solidFill>
                    <w14:schemeClr w14:val="tx1"/>
                  </w14:solidFill>
                </w14:textFill>
              </w:rPr>
            </w:pPr>
          </w:p>
        </w:tc>
        <w:tc>
          <w:tcPr>
            <w:tcW w:w="1121"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通识教育任意选修课程</w:t>
            </w:r>
          </w:p>
        </w:tc>
        <w:tc>
          <w:tcPr>
            <w:tcW w:w="1260" w:type="dxa"/>
            <w:vAlign w:val="center"/>
          </w:tcPr>
          <w:p>
            <w:pPr>
              <w:jc w:val="center"/>
              <w:rPr>
                <w:color w:val="000000" w:themeColor="text1"/>
                <w:szCs w:val="21"/>
                <w14:textFill>
                  <w14:solidFill>
                    <w14:schemeClr w14:val="tx1"/>
                  </w14:solidFill>
                </w14:textFill>
              </w:rPr>
            </w:pPr>
          </w:p>
        </w:tc>
        <w:tc>
          <w:tcPr>
            <w:tcW w:w="1121"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专业方向限选课程</w:t>
            </w:r>
          </w:p>
        </w:tc>
        <w:tc>
          <w:tcPr>
            <w:tcW w:w="1260" w:type="dxa"/>
            <w:vAlign w:val="center"/>
          </w:tcPr>
          <w:p>
            <w:pPr>
              <w:jc w:val="center"/>
              <w:rPr>
                <w:color w:val="000000" w:themeColor="text1"/>
                <w:szCs w:val="21"/>
                <w14:textFill>
                  <w14:solidFill>
                    <w14:schemeClr w14:val="tx1"/>
                  </w14:solidFill>
                </w14:textFill>
              </w:rPr>
            </w:pPr>
          </w:p>
        </w:tc>
        <w:tc>
          <w:tcPr>
            <w:tcW w:w="1121"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3788" w:type="dxa"/>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总学分</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0</w:t>
            </w:r>
          </w:p>
        </w:tc>
        <w:tc>
          <w:tcPr>
            <w:tcW w:w="1121"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r>
    </w:tbl>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w:t>
      </w:r>
      <w:bookmarkStart w:id="0" w:name="_GoBack"/>
      <w:bookmarkEnd w:id="0"/>
      <w:r>
        <w:rPr>
          <w:rFonts w:eastAsia="黑体"/>
          <w:color w:val="000000" w:themeColor="text1"/>
          <w:sz w:val="24"/>
          <w14:textFill>
            <w14:solidFill>
              <w14:schemeClr w14:val="tx1"/>
            </w14:solidFill>
          </w14:textFill>
        </w:rPr>
        <w:t>、专业课程设置一览表（中英文对照）</w:t>
      </w:r>
    </w:p>
    <w:p>
      <w:pPr>
        <w:autoSpaceDE w:val="0"/>
        <w:autoSpaceDN w:val="0"/>
        <w:adjustRightInd w:val="0"/>
        <w:ind w:firstLine="482" w:firstLineChars="200"/>
        <w:rPr>
          <w:rFonts w:ascii="仿宋" w:hAnsi="仿宋" w:eastAsia="仿宋"/>
          <w:b/>
          <w:color w:val="000000" w:themeColor="text1"/>
          <w:sz w:val="24"/>
          <w14:textFill>
            <w14:solidFill>
              <w14:schemeClr w14:val="tx1"/>
            </w14:solidFill>
          </w14:textFill>
        </w:rPr>
        <w:sectPr>
          <w:footerReference r:id="rId3" w:type="default"/>
          <w:pgSz w:w="11906" w:h="16838"/>
          <w:pgMar w:top="851" w:right="1558" w:bottom="1276" w:left="1418" w:header="851" w:footer="992" w:gutter="0"/>
          <w:cols w:space="720" w:num="1"/>
          <w:docGrid w:type="lines" w:linePitch="312" w:charSpace="0"/>
        </w:sectPr>
      </w:pPr>
    </w:p>
    <w:tbl>
      <w:tblPr>
        <w:tblStyle w:val="9"/>
        <w:tblpPr w:leftFromText="180" w:rightFromText="180" w:vertAnchor="page" w:horzAnchor="margin" w:tblpXSpec="center" w:tblpY="1021"/>
        <w:tblW w:w="5000" w:type="pct"/>
        <w:tblInd w:w="0" w:type="dxa"/>
        <w:tblLayout w:type="autofit"/>
        <w:tblCellMar>
          <w:top w:w="0" w:type="dxa"/>
          <w:left w:w="0" w:type="dxa"/>
          <w:bottom w:w="0" w:type="dxa"/>
          <w:right w:w="0" w:type="dxa"/>
        </w:tblCellMar>
      </w:tblPr>
      <w:tblGrid>
        <w:gridCol w:w="468"/>
        <w:gridCol w:w="948"/>
        <w:gridCol w:w="4186"/>
        <w:gridCol w:w="482"/>
        <w:gridCol w:w="625"/>
        <w:gridCol w:w="468"/>
        <w:gridCol w:w="30"/>
        <w:gridCol w:w="477"/>
        <w:gridCol w:w="50"/>
        <w:gridCol w:w="598"/>
      </w:tblGrid>
      <w:tr>
        <w:tblPrEx>
          <w:tblCellMar>
            <w:top w:w="0" w:type="dxa"/>
            <w:left w:w="0" w:type="dxa"/>
            <w:bottom w:w="0" w:type="dxa"/>
            <w:right w:w="0" w:type="dxa"/>
          </w:tblCellMar>
        </w:tblPrEx>
        <w:trPr>
          <w:trHeight w:val="284" w:hRule="atLeast"/>
        </w:trPr>
        <w:tc>
          <w:tcPr>
            <w:tcW w:w="28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课程类别</w:t>
            </w: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课程</w:t>
            </w:r>
          </w:p>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代码</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课程名称</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学分</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总学时</w:t>
            </w:r>
          </w:p>
        </w:tc>
        <w:tc>
          <w:tcPr>
            <w:tcW w:w="29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讲课学时</w:t>
            </w:r>
          </w:p>
        </w:tc>
        <w:tc>
          <w:tcPr>
            <w:tcW w:w="316"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实验实践学时</w:t>
            </w:r>
          </w:p>
        </w:tc>
        <w:tc>
          <w:tcPr>
            <w:tcW w:w="35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开课</w:t>
            </w:r>
          </w:p>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学期</w:t>
            </w:r>
          </w:p>
        </w:tc>
      </w:tr>
      <w:tr>
        <w:tblPrEx>
          <w:tblCellMar>
            <w:top w:w="0" w:type="dxa"/>
            <w:left w:w="0" w:type="dxa"/>
            <w:bottom w:w="0" w:type="dxa"/>
            <w:right w:w="0" w:type="dxa"/>
          </w:tblCellMar>
        </w:tblPrEx>
        <w:trPr>
          <w:trHeight w:val="284" w:hRule="atLeast"/>
        </w:trPr>
        <w:tc>
          <w:tcPr>
            <w:tcW w:w="281" w:type="pct"/>
            <w:vMerge w:val="restart"/>
            <w:tcBorders>
              <w:top w:val="single" w:color="auto" w:sz="4" w:space="0"/>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学科</w:t>
            </w:r>
          </w:p>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基础课程</w:t>
            </w: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Q12001</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微观经济学(A)</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Microeconomics (A)</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64</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64</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20"/>
                <w:szCs w:val="20"/>
                <w14:textFill>
                  <w14:solidFill>
                    <w14:schemeClr w14:val="tx1"/>
                  </w14:solidFill>
                </w14:textFill>
              </w:rPr>
              <w:t>Q12</w:t>
            </w:r>
            <w:r>
              <w:rPr>
                <w:rFonts w:hint="eastAsia"/>
                <w:color w:val="000000" w:themeColor="text1"/>
                <w:sz w:val="20"/>
                <w:szCs w:val="20"/>
                <w14:textFill>
                  <w14:solidFill>
                    <w14:schemeClr w14:val="tx1"/>
                  </w14:solidFill>
                </w14:textFill>
              </w:rPr>
              <w:t>103</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宏观经济学(B)</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Macroeconomics</w:t>
            </w:r>
            <w:r>
              <w:rPr>
                <w:rFonts w:hint="eastAsia" w:eastAsiaTheme="majorEastAsia"/>
                <w:color w:val="000000" w:themeColor="text1"/>
                <w:sz w:val="18"/>
                <w:szCs w:val="18"/>
                <w14:textFill>
                  <w14:solidFill>
                    <w14:schemeClr w14:val="tx1"/>
                  </w14:solidFill>
                </w14:textFill>
              </w:rPr>
              <w:t xml:space="preserve"> </w:t>
            </w:r>
            <w:r>
              <w:rPr>
                <w:rFonts w:eastAsiaTheme="majorEastAsia"/>
                <w:color w:val="000000" w:themeColor="text1"/>
                <w:sz w:val="18"/>
                <w:szCs w:val="18"/>
                <w14:textFill>
                  <w14:solidFill>
                    <w14:schemeClr w14:val="tx1"/>
                  </w14:solidFill>
                </w14:textFill>
              </w:rPr>
              <w:t>(B)</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48</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48</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bottom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3081"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20"/>
                <w:szCs w:val="20"/>
                <w14:textFill>
                  <w14:solidFill>
                    <w14:schemeClr w14:val="tx1"/>
                  </w14:solidFill>
                </w14:textFill>
              </w:rPr>
              <w:t>应修学分</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7</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55" w:hRule="atLeast"/>
        </w:trPr>
        <w:tc>
          <w:tcPr>
            <w:tcW w:w="281" w:type="pct"/>
            <w:vMerge w:val="restart"/>
            <w:tcBorders>
              <w:top w:val="single" w:color="auto" w:sz="4" w:space="0"/>
              <w:left w:val="single" w:color="auto" w:sz="4" w:space="0"/>
              <w:right w:val="single" w:color="auto" w:sz="4" w:space="0"/>
            </w:tcBorders>
            <w:vAlign w:val="center"/>
          </w:tcPr>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专业课程</w:t>
            </w:r>
          </w:p>
          <w:p>
            <w:pPr>
              <w:spacing w:line="240" w:lineRule="exact"/>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R</w:t>
            </w:r>
            <w:r>
              <w:rPr>
                <w:rFonts w:eastAsiaTheme="majorEastAsia"/>
                <w:color w:val="000000" w:themeColor="text1"/>
                <w:sz w:val="18"/>
                <w:szCs w:val="18"/>
                <w14:textFill>
                  <w14:solidFill>
                    <w14:schemeClr w14:val="tx1"/>
                  </w14:solidFill>
                </w14:textFill>
              </w:rPr>
              <w:t>12244</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国际贸易学</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Trade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hint="eastAsia" w:eastAsiaTheme="majorEastAsia"/>
                <w:color w:val="000000" w:themeColor="text1"/>
                <w:sz w:val="18"/>
                <w:szCs w:val="18"/>
                <w:lang w:eastAsia="zh-CN"/>
                <w14:textFill>
                  <w14:solidFill>
                    <w14:schemeClr w14:val="tx1"/>
                  </w14:solidFill>
                </w14:textFill>
              </w:rPr>
            </w:pPr>
            <w:r>
              <w:rPr>
                <w:rFonts w:hint="eastAsia" w:eastAsiaTheme="majorEastAsia"/>
                <w:color w:val="000000" w:themeColor="text1"/>
                <w:sz w:val="18"/>
                <w:szCs w:val="18"/>
                <w:lang w:val="en-US" w:eastAsia="zh-CN"/>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hint="default" w:eastAsiaTheme="majorEastAsia"/>
                <w:color w:val="000000" w:themeColor="text1"/>
                <w:sz w:val="18"/>
                <w:szCs w:val="18"/>
                <w:lang w:val="en-US" w:eastAsia="zh-CN"/>
                <w14:textFill>
                  <w14:solidFill>
                    <w14:schemeClr w14:val="tx1"/>
                  </w14:solidFill>
                </w14:textFill>
              </w:rPr>
            </w:pPr>
            <w:r>
              <w:rPr>
                <w:rFonts w:hint="eastAsia" w:eastAsiaTheme="majorEastAsia"/>
                <w:color w:val="000000" w:themeColor="text1"/>
                <w:sz w:val="18"/>
                <w:szCs w:val="18"/>
                <w:lang w:val="en-US" w:eastAsia="zh-CN"/>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hint="default" w:eastAsiaTheme="majorEastAsia"/>
                <w:color w:val="000000" w:themeColor="text1"/>
                <w:sz w:val="18"/>
                <w:szCs w:val="18"/>
                <w:lang w:val="en-US" w:eastAsia="zh-CN"/>
                <w14:textFill>
                  <w14:solidFill>
                    <w14:schemeClr w14:val="tx1"/>
                  </w14:solidFill>
                </w14:textFill>
              </w:rPr>
            </w:pPr>
            <w:r>
              <w:rPr>
                <w:rFonts w:hint="eastAsia" w:eastAsiaTheme="majorEastAsia"/>
                <w:color w:val="000000" w:themeColor="text1"/>
                <w:sz w:val="18"/>
                <w:szCs w:val="18"/>
                <w:lang w:val="en-US" w:eastAsia="zh-CN"/>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640"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Q12032</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国际贸易实务</w:t>
            </w:r>
            <w:r>
              <w:rPr>
                <w:rFonts w:hint="eastAsia" w:eastAsiaTheme="majorEastAsia"/>
                <w:color w:val="000000" w:themeColor="text1"/>
                <w:sz w:val="18"/>
                <w:szCs w:val="18"/>
                <w14:textFill>
                  <w14:solidFill>
                    <w14:schemeClr w14:val="tx1"/>
                  </w14:solidFill>
                </w14:textFill>
              </w:rPr>
              <w:t>（B）</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Trade Practices(B)</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48</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48</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Q12021</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国际金融</w:t>
            </w:r>
            <w:r>
              <w:rPr>
                <w:rFonts w:eastAsiaTheme="majorEastAsia"/>
                <w:color w:val="000000" w:themeColor="text1"/>
                <w:kern w:val="0"/>
                <w:sz w:val="18"/>
                <w:szCs w:val="18"/>
                <w14:textFill>
                  <w14:solidFill>
                    <w14:schemeClr w14:val="tx1"/>
                  </w14:solidFill>
                </w14:textFill>
              </w:rPr>
              <w:t>(</w:t>
            </w:r>
            <w:r>
              <w:rPr>
                <w:rFonts w:hint="eastAsia" w:eastAsiaTheme="majorEastAsia"/>
                <w:color w:val="000000" w:themeColor="text1"/>
                <w:kern w:val="0"/>
                <w:sz w:val="18"/>
                <w:szCs w:val="18"/>
                <w14:textFill>
                  <w14:solidFill>
                    <w14:schemeClr w14:val="tx1"/>
                  </w14:solidFill>
                </w14:textFill>
              </w:rPr>
              <w:t>C</w:t>
            </w:r>
            <w:r>
              <w:rPr>
                <w:rFonts w:eastAsiaTheme="majorEastAsia"/>
                <w:color w:val="000000" w:themeColor="text1"/>
                <w:kern w:val="0"/>
                <w:sz w:val="18"/>
                <w:szCs w:val="18"/>
                <w14:textFill>
                  <w14:solidFill>
                    <w14:schemeClr w14:val="tx1"/>
                  </w14:solidFill>
                </w14:textFill>
              </w:rPr>
              <w:t>)</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International Finance </w:t>
            </w:r>
            <w:r>
              <w:rPr>
                <w:rFonts w:eastAsiaTheme="majorEastAsia"/>
                <w:color w:val="000000" w:themeColor="text1"/>
                <w:kern w:val="0"/>
                <w:sz w:val="18"/>
                <w:szCs w:val="18"/>
                <w14:textFill>
                  <w14:solidFill>
                    <w14:schemeClr w14:val="tx1"/>
                  </w14:solidFill>
                </w14:textFill>
              </w:rPr>
              <w:t>(</w:t>
            </w:r>
            <w:r>
              <w:rPr>
                <w:rFonts w:hint="eastAsia" w:eastAsiaTheme="majorEastAsia"/>
                <w:color w:val="000000" w:themeColor="text1"/>
                <w:kern w:val="0"/>
                <w:sz w:val="18"/>
                <w:szCs w:val="18"/>
                <w14:textFill>
                  <w14:solidFill>
                    <w14:schemeClr w14:val="tx1"/>
                  </w14:solidFill>
                </w14:textFill>
              </w:rPr>
              <w:t>C</w:t>
            </w:r>
            <w:r>
              <w:rPr>
                <w:rFonts w:eastAsiaTheme="majorEastAsia"/>
                <w:color w:val="000000" w:themeColor="text1"/>
                <w:kern w:val="0"/>
                <w:sz w:val="18"/>
                <w:szCs w:val="18"/>
                <w14:textFill>
                  <w14:solidFill>
                    <w14:schemeClr w14:val="tx1"/>
                  </w14:solidFill>
                </w14:textFill>
              </w:rPr>
              <w:t>)</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R12299</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国际商务函电</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Business Correspondence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w:t>
            </w:r>
            <w:r>
              <w:rPr>
                <w:rFonts w:hint="eastAsia" w:eastAsiaTheme="majorEastAsia"/>
                <w:color w:val="000000" w:themeColor="text1"/>
                <w:sz w:val="18"/>
                <w:szCs w:val="18"/>
                <w14:textFill>
                  <w14:solidFill>
                    <w14:schemeClr w14:val="tx1"/>
                  </w14:solidFill>
                </w14:textFill>
              </w:rPr>
              <w:t>092</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外贸制单</w:t>
            </w:r>
            <w:r>
              <w:rPr>
                <w:rFonts w:eastAsiaTheme="majorEastAsia"/>
                <w:color w:val="000000" w:themeColor="text1"/>
                <w:sz w:val="18"/>
                <w:szCs w:val="18"/>
                <w14:textFill>
                  <w14:solidFill>
                    <w14:schemeClr w14:val="tx1"/>
                  </w14:solidFill>
                </w14:textFill>
              </w:rPr>
              <w:t>(A)</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Foreign Trade Documentation (A)</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R12254</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世界经济概论</w:t>
            </w:r>
          </w:p>
          <w:p>
            <w:pPr>
              <w:snapToGrid w:val="0"/>
              <w:spacing w:line="240" w:lineRule="exact"/>
              <w:contextualSpacing/>
              <w:rPr>
                <w:rFonts w:ascii="宋体" w:hAnsi="宋体"/>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Overview of World Economy </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Q12169</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国际市场学</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International Marketing </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Q12170</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国际商务</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Business</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Q12071</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外贸英文合同(A)</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Business English Contract (A)</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R12305</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国际商务谈判</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 xml:space="preserve">International Business Negotiations </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667" w:hRule="atLeast"/>
        </w:trPr>
        <w:tc>
          <w:tcPr>
            <w:tcW w:w="281"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R1230</w:t>
            </w:r>
            <w:r>
              <w:rPr>
                <w:rFonts w:hint="eastAsia" w:eastAsiaTheme="majorEastAsia"/>
                <w:color w:val="000000" w:themeColor="text1"/>
                <w:sz w:val="18"/>
                <w:szCs w:val="18"/>
                <w14:textFill>
                  <w14:solidFill>
                    <w14:schemeClr w14:val="tx1"/>
                  </w14:solidFill>
                </w14:textFill>
              </w:rPr>
              <w:t>4</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国际货物运输与保险</w:t>
            </w:r>
          </w:p>
          <w:p>
            <w:pPr>
              <w:snapToGrid w:val="0"/>
              <w:spacing w:line="240" w:lineRule="exact"/>
              <w:contextualSpacing/>
              <w:jc w:val="left"/>
              <w:rPr>
                <w:rFonts w:eastAsiaTheme="majorEastAsia"/>
                <w:color w:val="000000" w:themeColor="text1"/>
                <w:kern w:val="0"/>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International Cargo Transportation &amp; Insurance </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R12300</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国际经贸口语</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Business Oral English</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Q12172</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跨境电商理论与实务</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Theory and Practice of Cross-border E-commerce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Q12173</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跨境电商支付与结算</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Cross-border E-commerce Payment and Settlement</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16</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864" w:hRule="atLeast"/>
        </w:trPr>
        <w:tc>
          <w:tcPr>
            <w:tcW w:w="281"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Q12175</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跨境电商通关与物流</w:t>
            </w:r>
          </w:p>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Cross-border E-commerce Customs Clearance and Logistics</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296" w:hRule="atLeast"/>
        </w:trPr>
        <w:tc>
          <w:tcPr>
            <w:tcW w:w="281" w:type="pct"/>
            <w:vMerge w:val="continue"/>
            <w:tcBorders>
              <w:left w:val="single" w:color="auto" w:sz="4" w:space="0"/>
              <w:bottom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81"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firstLine="1800" w:firstLineChars="1000"/>
              <w:contextualSpacing/>
              <w:rPr>
                <w:rFonts w:eastAsiaTheme="majorEastAsia"/>
                <w:color w:val="000000" w:themeColor="text1"/>
                <w:kern w:val="0"/>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应修学分</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hint="eastAsia" w:eastAsiaTheme="majorEastAsia"/>
                <w:color w:val="000000" w:themeColor="text1"/>
                <w:sz w:val="18"/>
                <w:szCs w:val="18"/>
                <w:lang w:eastAsia="zh-CN"/>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lang w:val="en-US" w:eastAsia="zh-CN"/>
                <w14:textFill>
                  <w14:solidFill>
                    <w14:schemeClr w14:val="tx1"/>
                  </w14:solidFill>
                </w14:textFill>
              </w:rPr>
              <w:t>1</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281" w:type="pct"/>
            <w:vMerge w:val="restart"/>
            <w:tcBorders>
              <w:top w:val="single" w:color="auto" w:sz="4" w:space="0"/>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实践教学平台</w:t>
            </w: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left"/>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R11053</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国际贸易单证实务课程设计</w:t>
            </w:r>
          </w:p>
          <w:p>
            <w:pPr>
              <w:snapToGrid w:val="0"/>
              <w:spacing w:line="240" w:lineRule="exact"/>
              <w:contextualSpacing/>
              <w:jc w:val="left"/>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Course Exercise in International Trade Documentation &amp; Credit </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rFonts w:eastAsiaTheme="majorEastAsia"/>
                <w:color w:val="000000" w:themeColor="text1"/>
                <w:kern w:val="0"/>
                <w:sz w:val="18"/>
                <w:szCs w:val="18"/>
                <w14:textFill>
                  <w14:solidFill>
                    <w14:schemeClr w14:val="tx1"/>
                  </w14:solidFill>
                </w14:textFill>
              </w:rPr>
              <w:t>Q11003</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国际商务综合实训</w:t>
            </w:r>
            <w:r>
              <w:rPr>
                <w:rFonts w:hint="eastAsia" w:eastAsiaTheme="majorEastAsia"/>
                <w:color w:val="000000" w:themeColor="text1"/>
                <w:sz w:val="18"/>
                <w:szCs w:val="18"/>
                <w14:textFill>
                  <w14:solidFill>
                    <w14:schemeClr w14:val="tx1"/>
                  </w14:solidFill>
                </w14:textFill>
              </w:rPr>
              <w:t>(A)</w:t>
            </w:r>
          </w:p>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Comprehensive Practice of International Business</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left"/>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Q11042</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跨境电商综合实训</w:t>
            </w:r>
          </w:p>
          <w:p>
            <w:pPr>
              <w:snapToGrid w:val="0"/>
              <w:spacing w:line="240" w:lineRule="exact"/>
              <w:contextualSpacing/>
              <w:jc w:val="left"/>
              <w:rPr>
                <w:rFonts w:eastAsiaTheme="majorEastAsia"/>
                <w:color w:val="000000" w:themeColor="text1"/>
                <w:sz w:val="20"/>
                <w:szCs w:val="20"/>
                <w14:textFill>
                  <w14:solidFill>
                    <w14:schemeClr w14:val="tx1"/>
                  </w14:solidFill>
                </w14:textFill>
              </w:rPr>
            </w:pPr>
            <w:r>
              <w:rPr>
                <w:rFonts w:eastAsiaTheme="majorEastAsia"/>
                <w:color w:val="000000" w:themeColor="text1"/>
                <w:kern w:val="0"/>
                <w:sz w:val="18"/>
                <w:szCs w:val="18"/>
                <w14:textFill>
                  <w14:solidFill>
                    <w14:schemeClr w14:val="tx1"/>
                  </w14:solidFill>
                </w14:textFill>
              </w:rPr>
              <w:t>Comprehensive Training of Cross-border E-commerce</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Q11005</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国贸专业毕业实习(A)</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Graduation Practice for International Trade Major </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R1105</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国贸专业毕业论文</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Graduation Thesis for International Trade Major</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84" w:hRule="atLeast"/>
        </w:trPr>
        <w:tc>
          <w:tcPr>
            <w:tcW w:w="281" w:type="pct"/>
            <w:vMerge w:val="continue"/>
            <w:tcBorders>
              <w:left w:val="single" w:color="auto" w:sz="4" w:space="0"/>
              <w:bottom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81"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应修学分小计</w:t>
            </w:r>
          </w:p>
        </w:tc>
        <w:tc>
          <w:tcPr>
            <w:tcW w:w="289" w:type="pct"/>
            <w:tcBorders>
              <w:top w:val="single" w:color="auto" w:sz="4" w:space="0"/>
              <w:bottom w:val="single" w:color="auto" w:sz="4" w:space="0"/>
              <w:right w:val="single" w:color="auto" w:sz="4" w:space="0"/>
            </w:tcBorders>
            <w:tcMar>
              <w:top w:w="15" w:type="dxa"/>
              <w:left w:w="15" w:type="dxa"/>
              <w:bottom w:w="0" w:type="dxa"/>
              <w:right w:w="15" w:type="dxa"/>
            </w:tcMa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1"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89"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862" w:hRule="atLeast"/>
        </w:trPr>
        <w:tc>
          <w:tcPr>
            <w:tcW w:w="850"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540" w:firstLineChars="300"/>
              <w:rPr>
                <w:rFonts w:eastAsiaTheme="majorEastAsia"/>
                <w:color w:val="000000" w:themeColor="text1"/>
                <w:sz w:val="18"/>
                <w:szCs w:val="18"/>
                <w14:textFill>
                  <w14:solidFill>
                    <w14:schemeClr w14:val="tx1"/>
                  </w14:solidFill>
                </w14:textFill>
              </w:rPr>
            </w:pP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总计</w:t>
            </w:r>
          </w:p>
        </w:tc>
        <w:tc>
          <w:tcPr>
            <w:tcW w:w="1638" w:type="pct"/>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60</w:t>
            </w:r>
          </w:p>
        </w:tc>
      </w:tr>
      <w:tr>
        <w:tblPrEx>
          <w:tblCellMar>
            <w:top w:w="0" w:type="dxa"/>
            <w:left w:w="0" w:type="dxa"/>
            <w:bottom w:w="0" w:type="dxa"/>
            <w:right w:w="0" w:type="dxa"/>
          </w:tblCellMar>
        </w:tblPrEx>
        <w:trPr>
          <w:trHeight w:val="707" w:hRule="atLeast"/>
        </w:trPr>
        <w:tc>
          <w:tcPr>
            <w:tcW w:w="850" w:type="pct"/>
            <w:gridSpan w:val="2"/>
            <w:tcBorders>
              <w:top w:val="single" w:color="auto" w:sz="4" w:space="0"/>
              <w:left w:val="single" w:color="auto" w:sz="4" w:space="0"/>
              <w:bottom w:val="single" w:color="auto" w:sz="4" w:space="0"/>
              <w:right w:val="single" w:color="auto" w:sz="4" w:space="0"/>
            </w:tcBorders>
          </w:tcPr>
          <w:p>
            <w:pPr>
              <w:tabs>
                <w:tab w:val="left" w:pos="420"/>
                <w:tab w:val="center" w:pos="638"/>
              </w:tabs>
              <w:spacing w:line="240" w:lineRule="exact"/>
              <w:jc w:val="left"/>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ab/>
            </w:r>
            <w:r>
              <w:rPr>
                <w:rFonts w:hint="eastAsia" w:eastAsiaTheme="majorEastAsia"/>
                <w:color w:val="000000" w:themeColor="text1"/>
                <w:sz w:val="18"/>
                <w:szCs w:val="18"/>
                <w14:textFill>
                  <w14:solidFill>
                    <w14:schemeClr w14:val="tx1"/>
                  </w14:solidFill>
                </w14:textFill>
              </w:rPr>
              <w:t>制定</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审核</w:t>
            </w:r>
          </w:p>
        </w:tc>
        <w:tc>
          <w:tcPr>
            <w:tcW w:w="1349" w:type="pct"/>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903" w:hRule="atLeast"/>
        </w:trPr>
        <w:tc>
          <w:tcPr>
            <w:tcW w:w="850" w:type="pct"/>
            <w:gridSpan w:val="2"/>
            <w:tcBorders>
              <w:top w:val="single" w:color="auto" w:sz="4" w:space="0"/>
              <w:left w:val="single" w:color="auto" w:sz="4" w:space="0"/>
              <w:bottom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院长</w:t>
            </w:r>
          </w:p>
        </w:tc>
        <w:tc>
          <w:tcPr>
            <w:tcW w:w="2512"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1638" w:type="pct"/>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bl>
    <w:p>
      <w:pPr>
        <w:autoSpaceDE w:val="0"/>
        <w:autoSpaceDN w:val="0"/>
        <w:adjustRightInd w:val="0"/>
        <w:jc w:val="left"/>
        <w:rPr>
          <w:color w:val="000000" w:themeColor="text1"/>
          <w:sz w:val="28"/>
          <w:szCs w:val="28"/>
          <w14:textFill>
            <w14:solidFill>
              <w14:schemeClr w14:val="tx1"/>
            </w14:solidFill>
          </w14:textFill>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0ADE"/>
    <w:multiLevelType w:val="singleLevel"/>
    <w:tmpl w:val="23C50AD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0A"/>
    <w:rsid w:val="000023AA"/>
    <w:rsid w:val="000038BC"/>
    <w:rsid w:val="000048B6"/>
    <w:rsid w:val="000049EE"/>
    <w:rsid w:val="000067DB"/>
    <w:rsid w:val="00011E9F"/>
    <w:rsid w:val="0001210C"/>
    <w:rsid w:val="000125AE"/>
    <w:rsid w:val="0001477D"/>
    <w:rsid w:val="000149F9"/>
    <w:rsid w:val="00015C0E"/>
    <w:rsid w:val="00016354"/>
    <w:rsid w:val="00020B4C"/>
    <w:rsid w:val="0002109E"/>
    <w:rsid w:val="00021E3D"/>
    <w:rsid w:val="0002241A"/>
    <w:rsid w:val="00023BDC"/>
    <w:rsid w:val="000261AF"/>
    <w:rsid w:val="00026944"/>
    <w:rsid w:val="0002727C"/>
    <w:rsid w:val="00027C5A"/>
    <w:rsid w:val="00033BAF"/>
    <w:rsid w:val="00034DEB"/>
    <w:rsid w:val="00036483"/>
    <w:rsid w:val="00040B15"/>
    <w:rsid w:val="000425B1"/>
    <w:rsid w:val="000441EC"/>
    <w:rsid w:val="00044B65"/>
    <w:rsid w:val="00044C48"/>
    <w:rsid w:val="00045173"/>
    <w:rsid w:val="00046524"/>
    <w:rsid w:val="000471EA"/>
    <w:rsid w:val="00047FBE"/>
    <w:rsid w:val="00051B9F"/>
    <w:rsid w:val="00053306"/>
    <w:rsid w:val="00053F20"/>
    <w:rsid w:val="0005420F"/>
    <w:rsid w:val="0005433B"/>
    <w:rsid w:val="0005444B"/>
    <w:rsid w:val="00054966"/>
    <w:rsid w:val="00054997"/>
    <w:rsid w:val="00055F3F"/>
    <w:rsid w:val="0005610D"/>
    <w:rsid w:val="00056E9E"/>
    <w:rsid w:val="0005747D"/>
    <w:rsid w:val="00060425"/>
    <w:rsid w:val="000621D9"/>
    <w:rsid w:val="00062340"/>
    <w:rsid w:val="00062AFA"/>
    <w:rsid w:val="00065FC8"/>
    <w:rsid w:val="00066E9A"/>
    <w:rsid w:val="000675BF"/>
    <w:rsid w:val="00067FD8"/>
    <w:rsid w:val="000702C6"/>
    <w:rsid w:val="0007296B"/>
    <w:rsid w:val="00072C47"/>
    <w:rsid w:val="00072F5E"/>
    <w:rsid w:val="00073BE4"/>
    <w:rsid w:val="0007538F"/>
    <w:rsid w:val="00075DFF"/>
    <w:rsid w:val="0007738A"/>
    <w:rsid w:val="00077651"/>
    <w:rsid w:val="000803B1"/>
    <w:rsid w:val="00085B19"/>
    <w:rsid w:val="00086216"/>
    <w:rsid w:val="00090189"/>
    <w:rsid w:val="000905A8"/>
    <w:rsid w:val="00093559"/>
    <w:rsid w:val="00094C2C"/>
    <w:rsid w:val="00095E11"/>
    <w:rsid w:val="0009638F"/>
    <w:rsid w:val="000A0061"/>
    <w:rsid w:val="000A1820"/>
    <w:rsid w:val="000A23D1"/>
    <w:rsid w:val="000A24C0"/>
    <w:rsid w:val="000B03F5"/>
    <w:rsid w:val="000B13E3"/>
    <w:rsid w:val="000B38F0"/>
    <w:rsid w:val="000B5411"/>
    <w:rsid w:val="000B62B6"/>
    <w:rsid w:val="000B7672"/>
    <w:rsid w:val="000C39BC"/>
    <w:rsid w:val="000C545A"/>
    <w:rsid w:val="000C6497"/>
    <w:rsid w:val="000C6A2D"/>
    <w:rsid w:val="000D0CB2"/>
    <w:rsid w:val="000D3FC4"/>
    <w:rsid w:val="000D465B"/>
    <w:rsid w:val="000D4676"/>
    <w:rsid w:val="000D4975"/>
    <w:rsid w:val="000D49FF"/>
    <w:rsid w:val="000D4F94"/>
    <w:rsid w:val="000D6768"/>
    <w:rsid w:val="000E2049"/>
    <w:rsid w:val="000E22AD"/>
    <w:rsid w:val="000E34A9"/>
    <w:rsid w:val="000E4FE1"/>
    <w:rsid w:val="000E7318"/>
    <w:rsid w:val="000F07FD"/>
    <w:rsid w:val="000F1855"/>
    <w:rsid w:val="000F1B16"/>
    <w:rsid w:val="000F296D"/>
    <w:rsid w:val="000F5579"/>
    <w:rsid w:val="000F5796"/>
    <w:rsid w:val="000F61C1"/>
    <w:rsid w:val="000F6641"/>
    <w:rsid w:val="000F70B8"/>
    <w:rsid w:val="000F71B8"/>
    <w:rsid w:val="001019FB"/>
    <w:rsid w:val="001025E4"/>
    <w:rsid w:val="00102E42"/>
    <w:rsid w:val="00103A71"/>
    <w:rsid w:val="00103BFE"/>
    <w:rsid w:val="00104B22"/>
    <w:rsid w:val="00110B07"/>
    <w:rsid w:val="00112F60"/>
    <w:rsid w:val="001135C7"/>
    <w:rsid w:val="00113C8E"/>
    <w:rsid w:val="001149D9"/>
    <w:rsid w:val="001151D7"/>
    <w:rsid w:val="00117879"/>
    <w:rsid w:val="0011794C"/>
    <w:rsid w:val="00117B86"/>
    <w:rsid w:val="0012367C"/>
    <w:rsid w:val="00126108"/>
    <w:rsid w:val="0012638A"/>
    <w:rsid w:val="00126DC1"/>
    <w:rsid w:val="00127783"/>
    <w:rsid w:val="00127963"/>
    <w:rsid w:val="001309BB"/>
    <w:rsid w:val="001329FD"/>
    <w:rsid w:val="00134045"/>
    <w:rsid w:val="0013628B"/>
    <w:rsid w:val="00136F60"/>
    <w:rsid w:val="00143E5A"/>
    <w:rsid w:val="0014517F"/>
    <w:rsid w:val="00145744"/>
    <w:rsid w:val="00146098"/>
    <w:rsid w:val="00147D0F"/>
    <w:rsid w:val="00151339"/>
    <w:rsid w:val="001515A9"/>
    <w:rsid w:val="00151750"/>
    <w:rsid w:val="0015264F"/>
    <w:rsid w:val="00152930"/>
    <w:rsid w:val="00154FB4"/>
    <w:rsid w:val="001577BD"/>
    <w:rsid w:val="00160879"/>
    <w:rsid w:val="0016133D"/>
    <w:rsid w:val="00161554"/>
    <w:rsid w:val="00161A79"/>
    <w:rsid w:val="001676C6"/>
    <w:rsid w:val="001714EE"/>
    <w:rsid w:val="00171546"/>
    <w:rsid w:val="00171FD1"/>
    <w:rsid w:val="00172C11"/>
    <w:rsid w:val="00172D8A"/>
    <w:rsid w:val="001732B6"/>
    <w:rsid w:val="001732DC"/>
    <w:rsid w:val="00173B94"/>
    <w:rsid w:val="001771EB"/>
    <w:rsid w:val="001777C3"/>
    <w:rsid w:val="00180F30"/>
    <w:rsid w:val="00181E34"/>
    <w:rsid w:val="00182E55"/>
    <w:rsid w:val="001842B5"/>
    <w:rsid w:val="00187E15"/>
    <w:rsid w:val="001917DD"/>
    <w:rsid w:val="00192859"/>
    <w:rsid w:val="00193481"/>
    <w:rsid w:val="00197559"/>
    <w:rsid w:val="001A10C5"/>
    <w:rsid w:val="001A15D1"/>
    <w:rsid w:val="001A29E1"/>
    <w:rsid w:val="001A300A"/>
    <w:rsid w:val="001A3F86"/>
    <w:rsid w:val="001A432C"/>
    <w:rsid w:val="001A4867"/>
    <w:rsid w:val="001A5F94"/>
    <w:rsid w:val="001A713B"/>
    <w:rsid w:val="001A71F5"/>
    <w:rsid w:val="001B2851"/>
    <w:rsid w:val="001B365F"/>
    <w:rsid w:val="001B3DB4"/>
    <w:rsid w:val="001B745F"/>
    <w:rsid w:val="001C0B02"/>
    <w:rsid w:val="001C2F0D"/>
    <w:rsid w:val="001C2F2E"/>
    <w:rsid w:val="001C4999"/>
    <w:rsid w:val="001C79AC"/>
    <w:rsid w:val="001D0FD1"/>
    <w:rsid w:val="001D1AA5"/>
    <w:rsid w:val="001D4176"/>
    <w:rsid w:val="001D4CA2"/>
    <w:rsid w:val="001E1CAB"/>
    <w:rsid w:val="001E28A5"/>
    <w:rsid w:val="001E3120"/>
    <w:rsid w:val="001E35C1"/>
    <w:rsid w:val="001E5EDF"/>
    <w:rsid w:val="001E5EE0"/>
    <w:rsid w:val="001E7743"/>
    <w:rsid w:val="001F08E5"/>
    <w:rsid w:val="001F179C"/>
    <w:rsid w:val="001F1BF1"/>
    <w:rsid w:val="001F2BE5"/>
    <w:rsid w:val="001F37A3"/>
    <w:rsid w:val="001F3A65"/>
    <w:rsid w:val="001F62C9"/>
    <w:rsid w:val="001F6360"/>
    <w:rsid w:val="001F63CD"/>
    <w:rsid w:val="001F6BA1"/>
    <w:rsid w:val="002007BC"/>
    <w:rsid w:val="00200C26"/>
    <w:rsid w:val="002017BB"/>
    <w:rsid w:val="00203FBD"/>
    <w:rsid w:val="00204F18"/>
    <w:rsid w:val="002053CA"/>
    <w:rsid w:val="00205E84"/>
    <w:rsid w:val="002106A1"/>
    <w:rsid w:val="002122E3"/>
    <w:rsid w:val="00212423"/>
    <w:rsid w:val="00213E2C"/>
    <w:rsid w:val="00214C58"/>
    <w:rsid w:val="002154CB"/>
    <w:rsid w:val="00215EEF"/>
    <w:rsid w:val="002165C9"/>
    <w:rsid w:val="00216881"/>
    <w:rsid w:val="00217DFE"/>
    <w:rsid w:val="00217E79"/>
    <w:rsid w:val="002202A9"/>
    <w:rsid w:val="00220936"/>
    <w:rsid w:val="00221099"/>
    <w:rsid w:val="0022362A"/>
    <w:rsid w:val="00223E86"/>
    <w:rsid w:val="00225ADF"/>
    <w:rsid w:val="00226193"/>
    <w:rsid w:val="002271E1"/>
    <w:rsid w:val="002313A8"/>
    <w:rsid w:val="002353D7"/>
    <w:rsid w:val="0023666D"/>
    <w:rsid w:val="00236DD4"/>
    <w:rsid w:val="00237BFB"/>
    <w:rsid w:val="0024189C"/>
    <w:rsid w:val="00241D17"/>
    <w:rsid w:val="00242002"/>
    <w:rsid w:val="00243A40"/>
    <w:rsid w:val="00245A0E"/>
    <w:rsid w:val="00245E87"/>
    <w:rsid w:val="00246515"/>
    <w:rsid w:val="00247D63"/>
    <w:rsid w:val="00250281"/>
    <w:rsid w:val="002514FA"/>
    <w:rsid w:val="00254153"/>
    <w:rsid w:val="0025424F"/>
    <w:rsid w:val="00255B85"/>
    <w:rsid w:val="00256ABB"/>
    <w:rsid w:val="0026070E"/>
    <w:rsid w:val="002610A6"/>
    <w:rsid w:val="002617FA"/>
    <w:rsid w:val="00262A77"/>
    <w:rsid w:val="00262F84"/>
    <w:rsid w:val="002630A8"/>
    <w:rsid w:val="00263862"/>
    <w:rsid w:val="0026393C"/>
    <w:rsid w:val="00265998"/>
    <w:rsid w:val="00265FF4"/>
    <w:rsid w:val="00267633"/>
    <w:rsid w:val="00267A05"/>
    <w:rsid w:val="0027077B"/>
    <w:rsid w:val="00271970"/>
    <w:rsid w:val="00271F9E"/>
    <w:rsid w:val="00271FDD"/>
    <w:rsid w:val="0027326A"/>
    <w:rsid w:val="00273E29"/>
    <w:rsid w:val="00274FD2"/>
    <w:rsid w:val="00275BDF"/>
    <w:rsid w:val="0027780F"/>
    <w:rsid w:val="00277CE9"/>
    <w:rsid w:val="00280847"/>
    <w:rsid w:val="00280AFB"/>
    <w:rsid w:val="002817BA"/>
    <w:rsid w:val="00281C85"/>
    <w:rsid w:val="002836AD"/>
    <w:rsid w:val="002849D3"/>
    <w:rsid w:val="00285543"/>
    <w:rsid w:val="00285623"/>
    <w:rsid w:val="002865CD"/>
    <w:rsid w:val="002866FD"/>
    <w:rsid w:val="00287AF4"/>
    <w:rsid w:val="002906CD"/>
    <w:rsid w:val="00290E88"/>
    <w:rsid w:val="00291235"/>
    <w:rsid w:val="0029140B"/>
    <w:rsid w:val="0029259F"/>
    <w:rsid w:val="00292B0F"/>
    <w:rsid w:val="00294124"/>
    <w:rsid w:val="00294234"/>
    <w:rsid w:val="00296235"/>
    <w:rsid w:val="002A0A27"/>
    <w:rsid w:val="002A1319"/>
    <w:rsid w:val="002A24F4"/>
    <w:rsid w:val="002A4593"/>
    <w:rsid w:val="002A5364"/>
    <w:rsid w:val="002A5AA9"/>
    <w:rsid w:val="002A7C40"/>
    <w:rsid w:val="002B1C9D"/>
    <w:rsid w:val="002B350C"/>
    <w:rsid w:val="002B3BA2"/>
    <w:rsid w:val="002B46CF"/>
    <w:rsid w:val="002B47F3"/>
    <w:rsid w:val="002B4EE9"/>
    <w:rsid w:val="002B61AC"/>
    <w:rsid w:val="002B630C"/>
    <w:rsid w:val="002B749B"/>
    <w:rsid w:val="002C0419"/>
    <w:rsid w:val="002C0EDD"/>
    <w:rsid w:val="002C273F"/>
    <w:rsid w:val="002C37C8"/>
    <w:rsid w:val="002C3996"/>
    <w:rsid w:val="002C3D20"/>
    <w:rsid w:val="002C4FFF"/>
    <w:rsid w:val="002C676B"/>
    <w:rsid w:val="002C79C5"/>
    <w:rsid w:val="002C7DD0"/>
    <w:rsid w:val="002D14E9"/>
    <w:rsid w:val="002D1504"/>
    <w:rsid w:val="002D5DB2"/>
    <w:rsid w:val="002D60E7"/>
    <w:rsid w:val="002D6580"/>
    <w:rsid w:val="002D730A"/>
    <w:rsid w:val="002E3DDD"/>
    <w:rsid w:val="002E44E3"/>
    <w:rsid w:val="002E4F98"/>
    <w:rsid w:val="002E5D4A"/>
    <w:rsid w:val="002E5FDB"/>
    <w:rsid w:val="002E702F"/>
    <w:rsid w:val="002F02C1"/>
    <w:rsid w:val="002F0A1E"/>
    <w:rsid w:val="002F3436"/>
    <w:rsid w:val="002F4DE1"/>
    <w:rsid w:val="002F6AA9"/>
    <w:rsid w:val="002F70D5"/>
    <w:rsid w:val="003000BE"/>
    <w:rsid w:val="00300A49"/>
    <w:rsid w:val="00302B78"/>
    <w:rsid w:val="00302EF1"/>
    <w:rsid w:val="00303712"/>
    <w:rsid w:val="003072D0"/>
    <w:rsid w:val="00310024"/>
    <w:rsid w:val="00311F66"/>
    <w:rsid w:val="003137D1"/>
    <w:rsid w:val="00314605"/>
    <w:rsid w:val="00317308"/>
    <w:rsid w:val="0031762D"/>
    <w:rsid w:val="003207D1"/>
    <w:rsid w:val="00321668"/>
    <w:rsid w:val="00323395"/>
    <w:rsid w:val="0032496D"/>
    <w:rsid w:val="00324AB0"/>
    <w:rsid w:val="00324FF0"/>
    <w:rsid w:val="00325D5F"/>
    <w:rsid w:val="00326E4A"/>
    <w:rsid w:val="00327E86"/>
    <w:rsid w:val="003312C0"/>
    <w:rsid w:val="00331A7D"/>
    <w:rsid w:val="00331B02"/>
    <w:rsid w:val="00332469"/>
    <w:rsid w:val="00335FCD"/>
    <w:rsid w:val="003361BD"/>
    <w:rsid w:val="003363D7"/>
    <w:rsid w:val="00336620"/>
    <w:rsid w:val="00337740"/>
    <w:rsid w:val="00337A2F"/>
    <w:rsid w:val="00341A71"/>
    <w:rsid w:val="003426BC"/>
    <w:rsid w:val="003429D8"/>
    <w:rsid w:val="00342AF8"/>
    <w:rsid w:val="00343167"/>
    <w:rsid w:val="00343F8B"/>
    <w:rsid w:val="00345FFA"/>
    <w:rsid w:val="00350E9A"/>
    <w:rsid w:val="0035161F"/>
    <w:rsid w:val="00351F50"/>
    <w:rsid w:val="0035222F"/>
    <w:rsid w:val="003522B9"/>
    <w:rsid w:val="00354A77"/>
    <w:rsid w:val="00355A85"/>
    <w:rsid w:val="00356239"/>
    <w:rsid w:val="003562EA"/>
    <w:rsid w:val="003568AA"/>
    <w:rsid w:val="003608B1"/>
    <w:rsid w:val="003630CD"/>
    <w:rsid w:val="00364299"/>
    <w:rsid w:val="003658BE"/>
    <w:rsid w:val="00365B58"/>
    <w:rsid w:val="00366BA7"/>
    <w:rsid w:val="00371F2E"/>
    <w:rsid w:val="0037499C"/>
    <w:rsid w:val="00375FAE"/>
    <w:rsid w:val="003769E9"/>
    <w:rsid w:val="0037795C"/>
    <w:rsid w:val="00377CC9"/>
    <w:rsid w:val="00377DD6"/>
    <w:rsid w:val="00380A76"/>
    <w:rsid w:val="003813BF"/>
    <w:rsid w:val="00382621"/>
    <w:rsid w:val="003830FE"/>
    <w:rsid w:val="003855DD"/>
    <w:rsid w:val="0038631F"/>
    <w:rsid w:val="00395397"/>
    <w:rsid w:val="003965BC"/>
    <w:rsid w:val="00397207"/>
    <w:rsid w:val="00397580"/>
    <w:rsid w:val="003A0824"/>
    <w:rsid w:val="003A0FC4"/>
    <w:rsid w:val="003A1803"/>
    <w:rsid w:val="003A2070"/>
    <w:rsid w:val="003A2425"/>
    <w:rsid w:val="003A3767"/>
    <w:rsid w:val="003A4658"/>
    <w:rsid w:val="003A5BBC"/>
    <w:rsid w:val="003B1377"/>
    <w:rsid w:val="003B14FB"/>
    <w:rsid w:val="003B302E"/>
    <w:rsid w:val="003B3EC0"/>
    <w:rsid w:val="003B3F95"/>
    <w:rsid w:val="003B638A"/>
    <w:rsid w:val="003B7EF6"/>
    <w:rsid w:val="003C6363"/>
    <w:rsid w:val="003C7CBD"/>
    <w:rsid w:val="003D08F1"/>
    <w:rsid w:val="003D0EDC"/>
    <w:rsid w:val="003D1C0A"/>
    <w:rsid w:val="003D37E8"/>
    <w:rsid w:val="003D4250"/>
    <w:rsid w:val="003D4F57"/>
    <w:rsid w:val="003D5499"/>
    <w:rsid w:val="003D67BD"/>
    <w:rsid w:val="003E10EF"/>
    <w:rsid w:val="003E16F9"/>
    <w:rsid w:val="003E1E46"/>
    <w:rsid w:val="003E237C"/>
    <w:rsid w:val="003E2A88"/>
    <w:rsid w:val="003E2FFC"/>
    <w:rsid w:val="003E44DA"/>
    <w:rsid w:val="003E593D"/>
    <w:rsid w:val="003E7AD9"/>
    <w:rsid w:val="003E7EE0"/>
    <w:rsid w:val="003F01C9"/>
    <w:rsid w:val="003F1511"/>
    <w:rsid w:val="003F202C"/>
    <w:rsid w:val="003F2695"/>
    <w:rsid w:val="003F3ABC"/>
    <w:rsid w:val="003F40C0"/>
    <w:rsid w:val="003F6024"/>
    <w:rsid w:val="003F6C79"/>
    <w:rsid w:val="00403D66"/>
    <w:rsid w:val="004042A7"/>
    <w:rsid w:val="004065ED"/>
    <w:rsid w:val="00406F0A"/>
    <w:rsid w:val="00410565"/>
    <w:rsid w:val="00411027"/>
    <w:rsid w:val="00411D99"/>
    <w:rsid w:val="00412397"/>
    <w:rsid w:val="00412566"/>
    <w:rsid w:val="00412749"/>
    <w:rsid w:val="00413222"/>
    <w:rsid w:val="00414327"/>
    <w:rsid w:val="004151E4"/>
    <w:rsid w:val="0041526F"/>
    <w:rsid w:val="00415D21"/>
    <w:rsid w:val="004227CD"/>
    <w:rsid w:val="00426045"/>
    <w:rsid w:val="004267E5"/>
    <w:rsid w:val="00430217"/>
    <w:rsid w:val="004314AD"/>
    <w:rsid w:val="004328D9"/>
    <w:rsid w:val="00436D6D"/>
    <w:rsid w:val="004403AC"/>
    <w:rsid w:val="00441FE7"/>
    <w:rsid w:val="00442601"/>
    <w:rsid w:val="00444724"/>
    <w:rsid w:val="004462B2"/>
    <w:rsid w:val="00446590"/>
    <w:rsid w:val="004569C3"/>
    <w:rsid w:val="00456AC7"/>
    <w:rsid w:val="00464C93"/>
    <w:rsid w:val="00465051"/>
    <w:rsid w:val="004656C6"/>
    <w:rsid w:val="00470B31"/>
    <w:rsid w:val="00471DAC"/>
    <w:rsid w:val="0047206C"/>
    <w:rsid w:val="00473FE7"/>
    <w:rsid w:val="004747E2"/>
    <w:rsid w:val="004747F0"/>
    <w:rsid w:val="004763CD"/>
    <w:rsid w:val="0047674E"/>
    <w:rsid w:val="00477091"/>
    <w:rsid w:val="004803D7"/>
    <w:rsid w:val="00480989"/>
    <w:rsid w:val="00484560"/>
    <w:rsid w:val="00484588"/>
    <w:rsid w:val="004906B8"/>
    <w:rsid w:val="00492227"/>
    <w:rsid w:val="00493D85"/>
    <w:rsid w:val="00493F59"/>
    <w:rsid w:val="004955B3"/>
    <w:rsid w:val="004965D3"/>
    <w:rsid w:val="004966AA"/>
    <w:rsid w:val="004A05C6"/>
    <w:rsid w:val="004A082C"/>
    <w:rsid w:val="004A1086"/>
    <w:rsid w:val="004A3614"/>
    <w:rsid w:val="004A4BD2"/>
    <w:rsid w:val="004A5498"/>
    <w:rsid w:val="004A55D8"/>
    <w:rsid w:val="004A616B"/>
    <w:rsid w:val="004A6970"/>
    <w:rsid w:val="004B0083"/>
    <w:rsid w:val="004B01C3"/>
    <w:rsid w:val="004B0340"/>
    <w:rsid w:val="004B275F"/>
    <w:rsid w:val="004B3D73"/>
    <w:rsid w:val="004B56C6"/>
    <w:rsid w:val="004C1806"/>
    <w:rsid w:val="004C1853"/>
    <w:rsid w:val="004C210E"/>
    <w:rsid w:val="004C2D77"/>
    <w:rsid w:val="004C32C9"/>
    <w:rsid w:val="004C3FCE"/>
    <w:rsid w:val="004D2611"/>
    <w:rsid w:val="004D30CD"/>
    <w:rsid w:val="004D3A65"/>
    <w:rsid w:val="004D4112"/>
    <w:rsid w:val="004D7817"/>
    <w:rsid w:val="004D7950"/>
    <w:rsid w:val="004E10E4"/>
    <w:rsid w:val="004E2756"/>
    <w:rsid w:val="004E304F"/>
    <w:rsid w:val="004E31C4"/>
    <w:rsid w:val="004E3731"/>
    <w:rsid w:val="004E5C42"/>
    <w:rsid w:val="004E6A68"/>
    <w:rsid w:val="004E7167"/>
    <w:rsid w:val="004E7F7A"/>
    <w:rsid w:val="004F38BE"/>
    <w:rsid w:val="004F3E8D"/>
    <w:rsid w:val="004F5074"/>
    <w:rsid w:val="004F7B39"/>
    <w:rsid w:val="004F7EE0"/>
    <w:rsid w:val="00503D78"/>
    <w:rsid w:val="00504E16"/>
    <w:rsid w:val="00505CE5"/>
    <w:rsid w:val="00505F76"/>
    <w:rsid w:val="005065AA"/>
    <w:rsid w:val="0050669B"/>
    <w:rsid w:val="00506BE3"/>
    <w:rsid w:val="005132FA"/>
    <w:rsid w:val="00513650"/>
    <w:rsid w:val="00514323"/>
    <w:rsid w:val="005144B3"/>
    <w:rsid w:val="00514C10"/>
    <w:rsid w:val="005206BE"/>
    <w:rsid w:val="00522FB0"/>
    <w:rsid w:val="00527089"/>
    <w:rsid w:val="00527FD4"/>
    <w:rsid w:val="00530D97"/>
    <w:rsid w:val="00531100"/>
    <w:rsid w:val="005312ED"/>
    <w:rsid w:val="00532E1A"/>
    <w:rsid w:val="00534F09"/>
    <w:rsid w:val="00535235"/>
    <w:rsid w:val="00535A19"/>
    <w:rsid w:val="00535EB5"/>
    <w:rsid w:val="0053697E"/>
    <w:rsid w:val="00542A27"/>
    <w:rsid w:val="00543965"/>
    <w:rsid w:val="00544D21"/>
    <w:rsid w:val="00545ECB"/>
    <w:rsid w:val="00546DB6"/>
    <w:rsid w:val="00547457"/>
    <w:rsid w:val="005479D4"/>
    <w:rsid w:val="00551191"/>
    <w:rsid w:val="00551666"/>
    <w:rsid w:val="00551878"/>
    <w:rsid w:val="005536E6"/>
    <w:rsid w:val="00554B72"/>
    <w:rsid w:val="005567D1"/>
    <w:rsid w:val="00557871"/>
    <w:rsid w:val="00557C4A"/>
    <w:rsid w:val="00560753"/>
    <w:rsid w:val="00561D78"/>
    <w:rsid w:val="00563044"/>
    <w:rsid w:val="00563198"/>
    <w:rsid w:val="00565D9C"/>
    <w:rsid w:val="00566A0E"/>
    <w:rsid w:val="0056758E"/>
    <w:rsid w:val="005701B9"/>
    <w:rsid w:val="005724CA"/>
    <w:rsid w:val="005738A6"/>
    <w:rsid w:val="00574A5B"/>
    <w:rsid w:val="00574B35"/>
    <w:rsid w:val="005759D8"/>
    <w:rsid w:val="0057662E"/>
    <w:rsid w:val="0057673E"/>
    <w:rsid w:val="005778EC"/>
    <w:rsid w:val="00580A97"/>
    <w:rsid w:val="0058644E"/>
    <w:rsid w:val="005866DC"/>
    <w:rsid w:val="0058694F"/>
    <w:rsid w:val="005900B6"/>
    <w:rsid w:val="0059097F"/>
    <w:rsid w:val="005909DE"/>
    <w:rsid w:val="00591AE5"/>
    <w:rsid w:val="00592622"/>
    <w:rsid w:val="00593C17"/>
    <w:rsid w:val="00593D08"/>
    <w:rsid w:val="005A0342"/>
    <w:rsid w:val="005A48B5"/>
    <w:rsid w:val="005A565A"/>
    <w:rsid w:val="005A5977"/>
    <w:rsid w:val="005A6F8E"/>
    <w:rsid w:val="005B32CD"/>
    <w:rsid w:val="005B41CC"/>
    <w:rsid w:val="005B41E7"/>
    <w:rsid w:val="005B55BF"/>
    <w:rsid w:val="005B586A"/>
    <w:rsid w:val="005B5C7F"/>
    <w:rsid w:val="005B5D7D"/>
    <w:rsid w:val="005B6116"/>
    <w:rsid w:val="005B66E3"/>
    <w:rsid w:val="005B6A1E"/>
    <w:rsid w:val="005C2C03"/>
    <w:rsid w:val="005C3E05"/>
    <w:rsid w:val="005C7240"/>
    <w:rsid w:val="005D0B4C"/>
    <w:rsid w:val="005D180A"/>
    <w:rsid w:val="005D381F"/>
    <w:rsid w:val="005D425D"/>
    <w:rsid w:val="005D4C19"/>
    <w:rsid w:val="005D5797"/>
    <w:rsid w:val="005D680D"/>
    <w:rsid w:val="005D6F15"/>
    <w:rsid w:val="005D7C35"/>
    <w:rsid w:val="005E20D9"/>
    <w:rsid w:val="005E27D8"/>
    <w:rsid w:val="005E33FD"/>
    <w:rsid w:val="005E39DE"/>
    <w:rsid w:val="005E4189"/>
    <w:rsid w:val="005E64B4"/>
    <w:rsid w:val="005F0322"/>
    <w:rsid w:val="005F070E"/>
    <w:rsid w:val="005F2A11"/>
    <w:rsid w:val="005F43A9"/>
    <w:rsid w:val="005F52CB"/>
    <w:rsid w:val="005F5C56"/>
    <w:rsid w:val="005F7556"/>
    <w:rsid w:val="005F7DF4"/>
    <w:rsid w:val="006010B9"/>
    <w:rsid w:val="00601169"/>
    <w:rsid w:val="00602D19"/>
    <w:rsid w:val="00604513"/>
    <w:rsid w:val="006100EE"/>
    <w:rsid w:val="00611572"/>
    <w:rsid w:val="00611B77"/>
    <w:rsid w:val="006126FC"/>
    <w:rsid w:val="00612889"/>
    <w:rsid w:val="00613073"/>
    <w:rsid w:val="00614217"/>
    <w:rsid w:val="00615427"/>
    <w:rsid w:val="0061573C"/>
    <w:rsid w:val="00616612"/>
    <w:rsid w:val="006215AC"/>
    <w:rsid w:val="006218E8"/>
    <w:rsid w:val="0062303A"/>
    <w:rsid w:val="00624114"/>
    <w:rsid w:val="006244D9"/>
    <w:rsid w:val="006247B8"/>
    <w:rsid w:val="00624D04"/>
    <w:rsid w:val="0062644F"/>
    <w:rsid w:val="006276DF"/>
    <w:rsid w:val="00630D92"/>
    <w:rsid w:val="00631BE7"/>
    <w:rsid w:val="00632137"/>
    <w:rsid w:val="00633DEC"/>
    <w:rsid w:val="006347BF"/>
    <w:rsid w:val="00634CCD"/>
    <w:rsid w:val="006358B4"/>
    <w:rsid w:val="00636BA6"/>
    <w:rsid w:val="00637B1D"/>
    <w:rsid w:val="006406B5"/>
    <w:rsid w:val="00640A7F"/>
    <w:rsid w:val="00641869"/>
    <w:rsid w:val="00642BDA"/>
    <w:rsid w:val="00642CFD"/>
    <w:rsid w:val="006454F3"/>
    <w:rsid w:val="00646B5A"/>
    <w:rsid w:val="00646B61"/>
    <w:rsid w:val="00646C81"/>
    <w:rsid w:val="00651B53"/>
    <w:rsid w:val="0065202F"/>
    <w:rsid w:val="006523B3"/>
    <w:rsid w:val="00652C30"/>
    <w:rsid w:val="00654223"/>
    <w:rsid w:val="0065652B"/>
    <w:rsid w:val="0065671E"/>
    <w:rsid w:val="0066266E"/>
    <w:rsid w:val="00662891"/>
    <w:rsid w:val="006638D3"/>
    <w:rsid w:val="00664B24"/>
    <w:rsid w:val="00664F4E"/>
    <w:rsid w:val="006651E0"/>
    <w:rsid w:val="00666BCA"/>
    <w:rsid w:val="00673C61"/>
    <w:rsid w:val="00675511"/>
    <w:rsid w:val="006776ED"/>
    <w:rsid w:val="006776FD"/>
    <w:rsid w:val="00677B46"/>
    <w:rsid w:val="00680054"/>
    <w:rsid w:val="00681753"/>
    <w:rsid w:val="00681E62"/>
    <w:rsid w:val="006831A0"/>
    <w:rsid w:val="006849C6"/>
    <w:rsid w:val="00685C41"/>
    <w:rsid w:val="00686909"/>
    <w:rsid w:val="0069221B"/>
    <w:rsid w:val="006926A1"/>
    <w:rsid w:val="00692A58"/>
    <w:rsid w:val="0069495E"/>
    <w:rsid w:val="00694AAA"/>
    <w:rsid w:val="00694EA2"/>
    <w:rsid w:val="006969A7"/>
    <w:rsid w:val="006A2481"/>
    <w:rsid w:val="006A4982"/>
    <w:rsid w:val="006B0CFF"/>
    <w:rsid w:val="006B26F9"/>
    <w:rsid w:val="006B2FB9"/>
    <w:rsid w:val="006B360B"/>
    <w:rsid w:val="006B5227"/>
    <w:rsid w:val="006B5D01"/>
    <w:rsid w:val="006B6670"/>
    <w:rsid w:val="006B681D"/>
    <w:rsid w:val="006C087C"/>
    <w:rsid w:val="006C3753"/>
    <w:rsid w:val="006C4DB0"/>
    <w:rsid w:val="006D0593"/>
    <w:rsid w:val="006D06CE"/>
    <w:rsid w:val="006D2878"/>
    <w:rsid w:val="006D2ABB"/>
    <w:rsid w:val="006D7682"/>
    <w:rsid w:val="006D7DDC"/>
    <w:rsid w:val="006E1208"/>
    <w:rsid w:val="006E157E"/>
    <w:rsid w:val="006E209D"/>
    <w:rsid w:val="006E3593"/>
    <w:rsid w:val="006E43D7"/>
    <w:rsid w:val="006E4FDC"/>
    <w:rsid w:val="006E5B9E"/>
    <w:rsid w:val="006F09AD"/>
    <w:rsid w:val="006F1BAF"/>
    <w:rsid w:val="006F3C0E"/>
    <w:rsid w:val="006F4819"/>
    <w:rsid w:val="006F560E"/>
    <w:rsid w:val="006F677C"/>
    <w:rsid w:val="006F757D"/>
    <w:rsid w:val="006F7E6A"/>
    <w:rsid w:val="007000AF"/>
    <w:rsid w:val="00704139"/>
    <w:rsid w:val="00704D32"/>
    <w:rsid w:val="00705CDC"/>
    <w:rsid w:val="00705E37"/>
    <w:rsid w:val="0070656B"/>
    <w:rsid w:val="00706661"/>
    <w:rsid w:val="007067A3"/>
    <w:rsid w:val="00706AEF"/>
    <w:rsid w:val="00706F63"/>
    <w:rsid w:val="00706F9A"/>
    <w:rsid w:val="00711400"/>
    <w:rsid w:val="00712501"/>
    <w:rsid w:val="00714869"/>
    <w:rsid w:val="00715A17"/>
    <w:rsid w:val="007207DA"/>
    <w:rsid w:val="00721CDD"/>
    <w:rsid w:val="007234E6"/>
    <w:rsid w:val="007243DD"/>
    <w:rsid w:val="00726265"/>
    <w:rsid w:val="00730909"/>
    <w:rsid w:val="00730AE7"/>
    <w:rsid w:val="007331CA"/>
    <w:rsid w:val="00735754"/>
    <w:rsid w:val="00735FAA"/>
    <w:rsid w:val="0073663D"/>
    <w:rsid w:val="00740B11"/>
    <w:rsid w:val="0074199F"/>
    <w:rsid w:val="00742857"/>
    <w:rsid w:val="007439FC"/>
    <w:rsid w:val="0074645D"/>
    <w:rsid w:val="0075012A"/>
    <w:rsid w:val="00750427"/>
    <w:rsid w:val="0075307A"/>
    <w:rsid w:val="0075318E"/>
    <w:rsid w:val="00754101"/>
    <w:rsid w:val="00754BB7"/>
    <w:rsid w:val="00761694"/>
    <w:rsid w:val="007618A0"/>
    <w:rsid w:val="00762395"/>
    <w:rsid w:val="007637F3"/>
    <w:rsid w:val="007670F9"/>
    <w:rsid w:val="00770888"/>
    <w:rsid w:val="00770D25"/>
    <w:rsid w:val="007713E3"/>
    <w:rsid w:val="00772271"/>
    <w:rsid w:val="007736EF"/>
    <w:rsid w:val="007738F0"/>
    <w:rsid w:val="00773D48"/>
    <w:rsid w:val="00775221"/>
    <w:rsid w:val="00775F87"/>
    <w:rsid w:val="0077775A"/>
    <w:rsid w:val="00777F20"/>
    <w:rsid w:val="0078058F"/>
    <w:rsid w:val="00783E1F"/>
    <w:rsid w:val="00786A06"/>
    <w:rsid w:val="00786EAF"/>
    <w:rsid w:val="00787746"/>
    <w:rsid w:val="00791BD2"/>
    <w:rsid w:val="00791EBF"/>
    <w:rsid w:val="0079248A"/>
    <w:rsid w:val="00792A44"/>
    <w:rsid w:val="00792F8C"/>
    <w:rsid w:val="007A0549"/>
    <w:rsid w:val="007A059A"/>
    <w:rsid w:val="007A0AAB"/>
    <w:rsid w:val="007A2618"/>
    <w:rsid w:val="007A3E77"/>
    <w:rsid w:val="007A4401"/>
    <w:rsid w:val="007A485C"/>
    <w:rsid w:val="007A4984"/>
    <w:rsid w:val="007A557C"/>
    <w:rsid w:val="007A7AD6"/>
    <w:rsid w:val="007B0FBC"/>
    <w:rsid w:val="007B13B1"/>
    <w:rsid w:val="007B3939"/>
    <w:rsid w:val="007B3E0D"/>
    <w:rsid w:val="007B40AB"/>
    <w:rsid w:val="007B476F"/>
    <w:rsid w:val="007B5B25"/>
    <w:rsid w:val="007B7E85"/>
    <w:rsid w:val="007C0B78"/>
    <w:rsid w:val="007C0D03"/>
    <w:rsid w:val="007C1CC7"/>
    <w:rsid w:val="007C2619"/>
    <w:rsid w:val="007C3FFB"/>
    <w:rsid w:val="007C4131"/>
    <w:rsid w:val="007C4300"/>
    <w:rsid w:val="007C61F0"/>
    <w:rsid w:val="007C797A"/>
    <w:rsid w:val="007D0221"/>
    <w:rsid w:val="007D066F"/>
    <w:rsid w:val="007D2F05"/>
    <w:rsid w:val="007D39B9"/>
    <w:rsid w:val="007D4509"/>
    <w:rsid w:val="007D45D8"/>
    <w:rsid w:val="007D527E"/>
    <w:rsid w:val="007D626A"/>
    <w:rsid w:val="007D731E"/>
    <w:rsid w:val="007D7400"/>
    <w:rsid w:val="007D7AB9"/>
    <w:rsid w:val="007D7DFD"/>
    <w:rsid w:val="007E0357"/>
    <w:rsid w:val="007E14FD"/>
    <w:rsid w:val="007E3347"/>
    <w:rsid w:val="007E435B"/>
    <w:rsid w:val="007E53EE"/>
    <w:rsid w:val="007E636D"/>
    <w:rsid w:val="007E68EC"/>
    <w:rsid w:val="007E7A47"/>
    <w:rsid w:val="007F0A32"/>
    <w:rsid w:val="007F182F"/>
    <w:rsid w:val="007F1B96"/>
    <w:rsid w:val="007F3FEF"/>
    <w:rsid w:val="007F4847"/>
    <w:rsid w:val="007F6589"/>
    <w:rsid w:val="007F7872"/>
    <w:rsid w:val="007F7EC0"/>
    <w:rsid w:val="008003D5"/>
    <w:rsid w:val="008025F1"/>
    <w:rsid w:val="00806948"/>
    <w:rsid w:val="00807668"/>
    <w:rsid w:val="00807AF4"/>
    <w:rsid w:val="0081059F"/>
    <w:rsid w:val="00812F66"/>
    <w:rsid w:val="008136C9"/>
    <w:rsid w:val="008136FD"/>
    <w:rsid w:val="00815164"/>
    <w:rsid w:val="00815E45"/>
    <w:rsid w:val="008216B0"/>
    <w:rsid w:val="008216FD"/>
    <w:rsid w:val="00821D7B"/>
    <w:rsid w:val="00826C22"/>
    <w:rsid w:val="00826EC5"/>
    <w:rsid w:val="00827374"/>
    <w:rsid w:val="008306FD"/>
    <w:rsid w:val="0083108B"/>
    <w:rsid w:val="008318BB"/>
    <w:rsid w:val="00834BCB"/>
    <w:rsid w:val="00837375"/>
    <w:rsid w:val="00840B1A"/>
    <w:rsid w:val="0084110C"/>
    <w:rsid w:val="00842965"/>
    <w:rsid w:val="00842E32"/>
    <w:rsid w:val="00843A46"/>
    <w:rsid w:val="00843DD8"/>
    <w:rsid w:val="008460A8"/>
    <w:rsid w:val="0084699B"/>
    <w:rsid w:val="0084703E"/>
    <w:rsid w:val="00847539"/>
    <w:rsid w:val="00847725"/>
    <w:rsid w:val="00850303"/>
    <w:rsid w:val="00851886"/>
    <w:rsid w:val="00852669"/>
    <w:rsid w:val="008549B3"/>
    <w:rsid w:val="00854D4E"/>
    <w:rsid w:val="00861734"/>
    <w:rsid w:val="00866186"/>
    <w:rsid w:val="0086718C"/>
    <w:rsid w:val="00870B39"/>
    <w:rsid w:val="008721DF"/>
    <w:rsid w:val="00873788"/>
    <w:rsid w:val="008739E4"/>
    <w:rsid w:val="008740BC"/>
    <w:rsid w:val="00875E44"/>
    <w:rsid w:val="00876E41"/>
    <w:rsid w:val="00877956"/>
    <w:rsid w:val="00882DB4"/>
    <w:rsid w:val="0089076D"/>
    <w:rsid w:val="00891207"/>
    <w:rsid w:val="00891B17"/>
    <w:rsid w:val="00892AB3"/>
    <w:rsid w:val="0089313B"/>
    <w:rsid w:val="00893546"/>
    <w:rsid w:val="008944F0"/>
    <w:rsid w:val="00894ADB"/>
    <w:rsid w:val="00894B5C"/>
    <w:rsid w:val="00894EB3"/>
    <w:rsid w:val="00895AB1"/>
    <w:rsid w:val="0089625A"/>
    <w:rsid w:val="008977C9"/>
    <w:rsid w:val="008979F6"/>
    <w:rsid w:val="008A1B51"/>
    <w:rsid w:val="008A2539"/>
    <w:rsid w:val="008A32A2"/>
    <w:rsid w:val="008A3DF8"/>
    <w:rsid w:val="008A461A"/>
    <w:rsid w:val="008A54F3"/>
    <w:rsid w:val="008A59CD"/>
    <w:rsid w:val="008A62D8"/>
    <w:rsid w:val="008A76C8"/>
    <w:rsid w:val="008B0EEF"/>
    <w:rsid w:val="008B1865"/>
    <w:rsid w:val="008B1A6E"/>
    <w:rsid w:val="008B24C5"/>
    <w:rsid w:val="008B2511"/>
    <w:rsid w:val="008B25C6"/>
    <w:rsid w:val="008B2CFB"/>
    <w:rsid w:val="008B4E50"/>
    <w:rsid w:val="008B5B74"/>
    <w:rsid w:val="008B73BD"/>
    <w:rsid w:val="008B78D9"/>
    <w:rsid w:val="008C3754"/>
    <w:rsid w:val="008C3F3E"/>
    <w:rsid w:val="008C4C20"/>
    <w:rsid w:val="008C5D96"/>
    <w:rsid w:val="008C6557"/>
    <w:rsid w:val="008C6DC1"/>
    <w:rsid w:val="008C73FB"/>
    <w:rsid w:val="008D07FC"/>
    <w:rsid w:val="008D2BD5"/>
    <w:rsid w:val="008D4EC4"/>
    <w:rsid w:val="008D746A"/>
    <w:rsid w:val="008D7579"/>
    <w:rsid w:val="008E221A"/>
    <w:rsid w:val="008E332A"/>
    <w:rsid w:val="008E4531"/>
    <w:rsid w:val="008E51DD"/>
    <w:rsid w:val="008E5D1B"/>
    <w:rsid w:val="008F0503"/>
    <w:rsid w:val="008F15B5"/>
    <w:rsid w:val="008F3804"/>
    <w:rsid w:val="008F4EA9"/>
    <w:rsid w:val="00900BA7"/>
    <w:rsid w:val="009013D7"/>
    <w:rsid w:val="00901CCA"/>
    <w:rsid w:val="009026D0"/>
    <w:rsid w:val="00903A96"/>
    <w:rsid w:val="0090597A"/>
    <w:rsid w:val="0091084E"/>
    <w:rsid w:val="00911CD4"/>
    <w:rsid w:val="009141C0"/>
    <w:rsid w:val="00914C9D"/>
    <w:rsid w:val="00915334"/>
    <w:rsid w:val="00916309"/>
    <w:rsid w:val="00917753"/>
    <w:rsid w:val="0091784A"/>
    <w:rsid w:val="00921ADB"/>
    <w:rsid w:val="009232D1"/>
    <w:rsid w:val="00923B5B"/>
    <w:rsid w:val="009242BE"/>
    <w:rsid w:val="0092687D"/>
    <w:rsid w:val="00926926"/>
    <w:rsid w:val="00927069"/>
    <w:rsid w:val="00930059"/>
    <w:rsid w:val="009370A8"/>
    <w:rsid w:val="009371C5"/>
    <w:rsid w:val="009373AE"/>
    <w:rsid w:val="0093797E"/>
    <w:rsid w:val="00941593"/>
    <w:rsid w:val="00945032"/>
    <w:rsid w:val="00946230"/>
    <w:rsid w:val="00947D2C"/>
    <w:rsid w:val="00950A9C"/>
    <w:rsid w:val="00950F70"/>
    <w:rsid w:val="00950FA5"/>
    <w:rsid w:val="0095188C"/>
    <w:rsid w:val="009560A0"/>
    <w:rsid w:val="00960EE1"/>
    <w:rsid w:val="00961141"/>
    <w:rsid w:val="009619E8"/>
    <w:rsid w:val="00961FD8"/>
    <w:rsid w:val="00962265"/>
    <w:rsid w:val="00962E67"/>
    <w:rsid w:val="00963763"/>
    <w:rsid w:val="00967B1C"/>
    <w:rsid w:val="009715DD"/>
    <w:rsid w:val="00971C7F"/>
    <w:rsid w:val="0097251E"/>
    <w:rsid w:val="009729B2"/>
    <w:rsid w:val="00975597"/>
    <w:rsid w:val="009761DB"/>
    <w:rsid w:val="009762AF"/>
    <w:rsid w:val="0097659D"/>
    <w:rsid w:val="00982626"/>
    <w:rsid w:val="00982B69"/>
    <w:rsid w:val="00985603"/>
    <w:rsid w:val="00987A6D"/>
    <w:rsid w:val="00987D6C"/>
    <w:rsid w:val="00987F01"/>
    <w:rsid w:val="0099192A"/>
    <w:rsid w:val="00991B44"/>
    <w:rsid w:val="00992686"/>
    <w:rsid w:val="00993B00"/>
    <w:rsid w:val="00995A25"/>
    <w:rsid w:val="00995B70"/>
    <w:rsid w:val="00996654"/>
    <w:rsid w:val="00996D72"/>
    <w:rsid w:val="00997780"/>
    <w:rsid w:val="009978CE"/>
    <w:rsid w:val="009A1B72"/>
    <w:rsid w:val="009A2B1D"/>
    <w:rsid w:val="009A7177"/>
    <w:rsid w:val="009A7F1E"/>
    <w:rsid w:val="009B16F0"/>
    <w:rsid w:val="009B1F16"/>
    <w:rsid w:val="009B2301"/>
    <w:rsid w:val="009B2775"/>
    <w:rsid w:val="009B50FE"/>
    <w:rsid w:val="009B608B"/>
    <w:rsid w:val="009B642C"/>
    <w:rsid w:val="009B6A98"/>
    <w:rsid w:val="009C07D5"/>
    <w:rsid w:val="009C202F"/>
    <w:rsid w:val="009C2A76"/>
    <w:rsid w:val="009C30D2"/>
    <w:rsid w:val="009C39C6"/>
    <w:rsid w:val="009C3B56"/>
    <w:rsid w:val="009C3C76"/>
    <w:rsid w:val="009C40FB"/>
    <w:rsid w:val="009C44D6"/>
    <w:rsid w:val="009C66B4"/>
    <w:rsid w:val="009C6E36"/>
    <w:rsid w:val="009D0FB0"/>
    <w:rsid w:val="009D10F0"/>
    <w:rsid w:val="009D1582"/>
    <w:rsid w:val="009D2BC7"/>
    <w:rsid w:val="009D39C2"/>
    <w:rsid w:val="009D60F7"/>
    <w:rsid w:val="009D697C"/>
    <w:rsid w:val="009D70B5"/>
    <w:rsid w:val="009D7E8E"/>
    <w:rsid w:val="009D7EDE"/>
    <w:rsid w:val="009E0EE1"/>
    <w:rsid w:val="009E0F75"/>
    <w:rsid w:val="009E2B35"/>
    <w:rsid w:val="009E3032"/>
    <w:rsid w:val="009E689E"/>
    <w:rsid w:val="009E7067"/>
    <w:rsid w:val="009E74A3"/>
    <w:rsid w:val="009F1036"/>
    <w:rsid w:val="009F1EE4"/>
    <w:rsid w:val="009F2128"/>
    <w:rsid w:val="009F2F0C"/>
    <w:rsid w:val="009F321E"/>
    <w:rsid w:val="009F51C5"/>
    <w:rsid w:val="009F5897"/>
    <w:rsid w:val="00A00006"/>
    <w:rsid w:val="00A00F1B"/>
    <w:rsid w:val="00A02BCC"/>
    <w:rsid w:val="00A03011"/>
    <w:rsid w:val="00A03BF4"/>
    <w:rsid w:val="00A041D4"/>
    <w:rsid w:val="00A05B06"/>
    <w:rsid w:val="00A114BB"/>
    <w:rsid w:val="00A122D0"/>
    <w:rsid w:val="00A130F8"/>
    <w:rsid w:val="00A15426"/>
    <w:rsid w:val="00A156F1"/>
    <w:rsid w:val="00A157AE"/>
    <w:rsid w:val="00A2074A"/>
    <w:rsid w:val="00A20CB0"/>
    <w:rsid w:val="00A21863"/>
    <w:rsid w:val="00A221B1"/>
    <w:rsid w:val="00A24490"/>
    <w:rsid w:val="00A24577"/>
    <w:rsid w:val="00A263E2"/>
    <w:rsid w:val="00A32C22"/>
    <w:rsid w:val="00A330C0"/>
    <w:rsid w:val="00A334B4"/>
    <w:rsid w:val="00A34E8F"/>
    <w:rsid w:val="00A35066"/>
    <w:rsid w:val="00A4107B"/>
    <w:rsid w:val="00A41A79"/>
    <w:rsid w:val="00A438D2"/>
    <w:rsid w:val="00A44A15"/>
    <w:rsid w:val="00A44F47"/>
    <w:rsid w:val="00A461B3"/>
    <w:rsid w:val="00A503FA"/>
    <w:rsid w:val="00A51D08"/>
    <w:rsid w:val="00A51FC4"/>
    <w:rsid w:val="00A522CE"/>
    <w:rsid w:val="00A53675"/>
    <w:rsid w:val="00A53BA3"/>
    <w:rsid w:val="00A550A0"/>
    <w:rsid w:val="00A55FE2"/>
    <w:rsid w:val="00A56B2D"/>
    <w:rsid w:val="00A56D3A"/>
    <w:rsid w:val="00A6015E"/>
    <w:rsid w:val="00A60A91"/>
    <w:rsid w:val="00A60F57"/>
    <w:rsid w:val="00A61EF5"/>
    <w:rsid w:val="00A66AFD"/>
    <w:rsid w:val="00A673BB"/>
    <w:rsid w:val="00A67639"/>
    <w:rsid w:val="00A70523"/>
    <w:rsid w:val="00A7098F"/>
    <w:rsid w:val="00A7187F"/>
    <w:rsid w:val="00A71C0D"/>
    <w:rsid w:val="00A72A72"/>
    <w:rsid w:val="00A73172"/>
    <w:rsid w:val="00A74A34"/>
    <w:rsid w:val="00A7523E"/>
    <w:rsid w:val="00A76F23"/>
    <w:rsid w:val="00A80C21"/>
    <w:rsid w:val="00A84D60"/>
    <w:rsid w:val="00A850DD"/>
    <w:rsid w:val="00A8659D"/>
    <w:rsid w:val="00A87464"/>
    <w:rsid w:val="00A8775F"/>
    <w:rsid w:val="00A91644"/>
    <w:rsid w:val="00A91F4C"/>
    <w:rsid w:val="00A930A3"/>
    <w:rsid w:val="00A93343"/>
    <w:rsid w:val="00A93A89"/>
    <w:rsid w:val="00A956CB"/>
    <w:rsid w:val="00A95B11"/>
    <w:rsid w:val="00A9618D"/>
    <w:rsid w:val="00A972C3"/>
    <w:rsid w:val="00AA07E0"/>
    <w:rsid w:val="00AA0975"/>
    <w:rsid w:val="00AA0FB9"/>
    <w:rsid w:val="00AA2543"/>
    <w:rsid w:val="00AA2E7C"/>
    <w:rsid w:val="00AA4258"/>
    <w:rsid w:val="00AA7A2A"/>
    <w:rsid w:val="00AA7D14"/>
    <w:rsid w:val="00AB0111"/>
    <w:rsid w:val="00AB1267"/>
    <w:rsid w:val="00AB1717"/>
    <w:rsid w:val="00AB17B3"/>
    <w:rsid w:val="00AB1A32"/>
    <w:rsid w:val="00AB22BC"/>
    <w:rsid w:val="00AB238B"/>
    <w:rsid w:val="00AB32C4"/>
    <w:rsid w:val="00AB445D"/>
    <w:rsid w:val="00AB5A76"/>
    <w:rsid w:val="00AB694A"/>
    <w:rsid w:val="00AB6D98"/>
    <w:rsid w:val="00AC02CE"/>
    <w:rsid w:val="00AC0819"/>
    <w:rsid w:val="00AC0965"/>
    <w:rsid w:val="00AC14FC"/>
    <w:rsid w:val="00AC40CB"/>
    <w:rsid w:val="00AC4144"/>
    <w:rsid w:val="00AC5172"/>
    <w:rsid w:val="00AC531B"/>
    <w:rsid w:val="00AC7AD7"/>
    <w:rsid w:val="00AD074B"/>
    <w:rsid w:val="00AD16C6"/>
    <w:rsid w:val="00AD1BE1"/>
    <w:rsid w:val="00AD2087"/>
    <w:rsid w:val="00AD30CF"/>
    <w:rsid w:val="00AD52EC"/>
    <w:rsid w:val="00AD59F6"/>
    <w:rsid w:val="00AD67A5"/>
    <w:rsid w:val="00AD71B7"/>
    <w:rsid w:val="00AD73C8"/>
    <w:rsid w:val="00AE00B3"/>
    <w:rsid w:val="00AE0E4D"/>
    <w:rsid w:val="00AE0E9F"/>
    <w:rsid w:val="00AE2387"/>
    <w:rsid w:val="00AE3740"/>
    <w:rsid w:val="00AF39D5"/>
    <w:rsid w:val="00AF3EF1"/>
    <w:rsid w:val="00AF401A"/>
    <w:rsid w:val="00AF5F16"/>
    <w:rsid w:val="00AF7A35"/>
    <w:rsid w:val="00B0211C"/>
    <w:rsid w:val="00B032A3"/>
    <w:rsid w:val="00B0479B"/>
    <w:rsid w:val="00B065BF"/>
    <w:rsid w:val="00B06DFD"/>
    <w:rsid w:val="00B078A0"/>
    <w:rsid w:val="00B07A6C"/>
    <w:rsid w:val="00B07C66"/>
    <w:rsid w:val="00B10870"/>
    <w:rsid w:val="00B16A0B"/>
    <w:rsid w:val="00B1799E"/>
    <w:rsid w:val="00B21219"/>
    <w:rsid w:val="00B21964"/>
    <w:rsid w:val="00B23C15"/>
    <w:rsid w:val="00B23DBF"/>
    <w:rsid w:val="00B242F1"/>
    <w:rsid w:val="00B2638C"/>
    <w:rsid w:val="00B2673E"/>
    <w:rsid w:val="00B26E81"/>
    <w:rsid w:val="00B27422"/>
    <w:rsid w:val="00B329B6"/>
    <w:rsid w:val="00B32C65"/>
    <w:rsid w:val="00B3366F"/>
    <w:rsid w:val="00B33E69"/>
    <w:rsid w:val="00B35062"/>
    <w:rsid w:val="00B37787"/>
    <w:rsid w:val="00B37D07"/>
    <w:rsid w:val="00B405CE"/>
    <w:rsid w:val="00B42082"/>
    <w:rsid w:val="00B422A6"/>
    <w:rsid w:val="00B4562D"/>
    <w:rsid w:val="00B4568F"/>
    <w:rsid w:val="00B456A5"/>
    <w:rsid w:val="00B4585C"/>
    <w:rsid w:val="00B46510"/>
    <w:rsid w:val="00B46ED5"/>
    <w:rsid w:val="00B47329"/>
    <w:rsid w:val="00B516C5"/>
    <w:rsid w:val="00B51D93"/>
    <w:rsid w:val="00B51DEF"/>
    <w:rsid w:val="00B52245"/>
    <w:rsid w:val="00B53870"/>
    <w:rsid w:val="00B53C08"/>
    <w:rsid w:val="00B55E68"/>
    <w:rsid w:val="00B57E23"/>
    <w:rsid w:val="00B609C2"/>
    <w:rsid w:val="00B60C05"/>
    <w:rsid w:val="00B61544"/>
    <w:rsid w:val="00B622D6"/>
    <w:rsid w:val="00B6335D"/>
    <w:rsid w:val="00B63A9A"/>
    <w:rsid w:val="00B63B9F"/>
    <w:rsid w:val="00B64772"/>
    <w:rsid w:val="00B675A3"/>
    <w:rsid w:val="00B67823"/>
    <w:rsid w:val="00B67BC7"/>
    <w:rsid w:val="00B72F59"/>
    <w:rsid w:val="00B7507D"/>
    <w:rsid w:val="00B75632"/>
    <w:rsid w:val="00B76E32"/>
    <w:rsid w:val="00B80BDE"/>
    <w:rsid w:val="00B831D2"/>
    <w:rsid w:val="00B845B7"/>
    <w:rsid w:val="00B8681C"/>
    <w:rsid w:val="00B87028"/>
    <w:rsid w:val="00B91099"/>
    <w:rsid w:val="00B91F18"/>
    <w:rsid w:val="00B9385A"/>
    <w:rsid w:val="00B95CB0"/>
    <w:rsid w:val="00B96826"/>
    <w:rsid w:val="00B970A3"/>
    <w:rsid w:val="00BA0ACC"/>
    <w:rsid w:val="00BA2B52"/>
    <w:rsid w:val="00BA3CCE"/>
    <w:rsid w:val="00BA3CEF"/>
    <w:rsid w:val="00BA4CFE"/>
    <w:rsid w:val="00BB06C6"/>
    <w:rsid w:val="00BB182A"/>
    <w:rsid w:val="00BB1C79"/>
    <w:rsid w:val="00BB32D3"/>
    <w:rsid w:val="00BB5AAF"/>
    <w:rsid w:val="00BC06C3"/>
    <w:rsid w:val="00BC11D4"/>
    <w:rsid w:val="00BC16A8"/>
    <w:rsid w:val="00BC333F"/>
    <w:rsid w:val="00BD0224"/>
    <w:rsid w:val="00BD09B9"/>
    <w:rsid w:val="00BD3A3E"/>
    <w:rsid w:val="00BD3D12"/>
    <w:rsid w:val="00BD3D44"/>
    <w:rsid w:val="00BD5707"/>
    <w:rsid w:val="00BE07CD"/>
    <w:rsid w:val="00BE0FEC"/>
    <w:rsid w:val="00BE4F51"/>
    <w:rsid w:val="00BE651D"/>
    <w:rsid w:val="00BE7F67"/>
    <w:rsid w:val="00BF0F6D"/>
    <w:rsid w:val="00BF1026"/>
    <w:rsid w:val="00BF10BE"/>
    <w:rsid w:val="00BF2198"/>
    <w:rsid w:val="00BF2F04"/>
    <w:rsid w:val="00BF62D9"/>
    <w:rsid w:val="00BF66BD"/>
    <w:rsid w:val="00BF6C15"/>
    <w:rsid w:val="00BF6FB2"/>
    <w:rsid w:val="00C009D5"/>
    <w:rsid w:val="00C01E89"/>
    <w:rsid w:val="00C04431"/>
    <w:rsid w:val="00C05AC4"/>
    <w:rsid w:val="00C05B20"/>
    <w:rsid w:val="00C06F8B"/>
    <w:rsid w:val="00C12366"/>
    <w:rsid w:val="00C146B4"/>
    <w:rsid w:val="00C152D3"/>
    <w:rsid w:val="00C16D03"/>
    <w:rsid w:val="00C2115A"/>
    <w:rsid w:val="00C214AC"/>
    <w:rsid w:val="00C21CA9"/>
    <w:rsid w:val="00C23B8C"/>
    <w:rsid w:val="00C23BDF"/>
    <w:rsid w:val="00C240D0"/>
    <w:rsid w:val="00C25128"/>
    <w:rsid w:val="00C26563"/>
    <w:rsid w:val="00C265A0"/>
    <w:rsid w:val="00C27CDC"/>
    <w:rsid w:val="00C30F5E"/>
    <w:rsid w:val="00C3271D"/>
    <w:rsid w:val="00C334EA"/>
    <w:rsid w:val="00C339FF"/>
    <w:rsid w:val="00C33F00"/>
    <w:rsid w:val="00C343A6"/>
    <w:rsid w:val="00C35497"/>
    <w:rsid w:val="00C35544"/>
    <w:rsid w:val="00C35C5D"/>
    <w:rsid w:val="00C363CE"/>
    <w:rsid w:val="00C40561"/>
    <w:rsid w:val="00C40C17"/>
    <w:rsid w:val="00C41A8C"/>
    <w:rsid w:val="00C43453"/>
    <w:rsid w:val="00C46D21"/>
    <w:rsid w:val="00C51C06"/>
    <w:rsid w:val="00C57318"/>
    <w:rsid w:val="00C57D13"/>
    <w:rsid w:val="00C57E5D"/>
    <w:rsid w:val="00C57FE3"/>
    <w:rsid w:val="00C60F27"/>
    <w:rsid w:val="00C61820"/>
    <w:rsid w:val="00C62C88"/>
    <w:rsid w:val="00C640AA"/>
    <w:rsid w:val="00C645DB"/>
    <w:rsid w:val="00C64662"/>
    <w:rsid w:val="00C657B4"/>
    <w:rsid w:val="00C67DBE"/>
    <w:rsid w:val="00C72906"/>
    <w:rsid w:val="00C743AB"/>
    <w:rsid w:val="00C74993"/>
    <w:rsid w:val="00C74A88"/>
    <w:rsid w:val="00C80E9F"/>
    <w:rsid w:val="00C8102A"/>
    <w:rsid w:val="00C81095"/>
    <w:rsid w:val="00C81CBF"/>
    <w:rsid w:val="00C846CC"/>
    <w:rsid w:val="00C846FA"/>
    <w:rsid w:val="00C85419"/>
    <w:rsid w:val="00C8755E"/>
    <w:rsid w:val="00C90BFF"/>
    <w:rsid w:val="00C91AE6"/>
    <w:rsid w:val="00C92CDD"/>
    <w:rsid w:val="00C92F2D"/>
    <w:rsid w:val="00C93776"/>
    <w:rsid w:val="00C94EBB"/>
    <w:rsid w:val="00C96117"/>
    <w:rsid w:val="00C97E6A"/>
    <w:rsid w:val="00CA1D6E"/>
    <w:rsid w:val="00CA2126"/>
    <w:rsid w:val="00CA4176"/>
    <w:rsid w:val="00CA497C"/>
    <w:rsid w:val="00CA5F40"/>
    <w:rsid w:val="00CB2075"/>
    <w:rsid w:val="00CB2D51"/>
    <w:rsid w:val="00CB39FC"/>
    <w:rsid w:val="00CB4043"/>
    <w:rsid w:val="00CB4846"/>
    <w:rsid w:val="00CB4E7B"/>
    <w:rsid w:val="00CB5A1A"/>
    <w:rsid w:val="00CB73B9"/>
    <w:rsid w:val="00CC07FC"/>
    <w:rsid w:val="00CC0F99"/>
    <w:rsid w:val="00CC10EC"/>
    <w:rsid w:val="00CC2FAA"/>
    <w:rsid w:val="00CC32D0"/>
    <w:rsid w:val="00CC421B"/>
    <w:rsid w:val="00CC76D7"/>
    <w:rsid w:val="00CD03FE"/>
    <w:rsid w:val="00CD0BAC"/>
    <w:rsid w:val="00CD194B"/>
    <w:rsid w:val="00CD2026"/>
    <w:rsid w:val="00CD4367"/>
    <w:rsid w:val="00CD5881"/>
    <w:rsid w:val="00CD6D0E"/>
    <w:rsid w:val="00CD79F6"/>
    <w:rsid w:val="00CE2084"/>
    <w:rsid w:val="00CE395C"/>
    <w:rsid w:val="00CE59C7"/>
    <w:rsid w:val="00CE623E"/>
    <w:rsid w:val="00CE7BFE"/>
    <w:rsid w:val="00CF0074"/>
    <w:rsid w:val="00CF06B2"/>
    <w:rsid w:val="00CF266C"/>
    <w:rsid w:val="00CF370F"/>
    <w:rsid w:val="00CF3E28"/>
    <w:rsid w:val="00CF58C4"/>
    <w:rsid w:val="00CF6A7E"/>
    <w:rsid w:val="00D02264"/>
    <w:rsid w:val="00D03DCA"/>
    <w:rsid w:val="00D0413F"/>
    <w:rsid w:val="00D118D8"/>
    <w:rsid w:val="00D12ACE"/>
    <w:rsid w:val="00D13769"/>
    <w:rsid w:val="00D14E4F"/>
    <w:rsid w:val="00D16A8E"/>
    <w:rsid w:val="00D207AF"/>
    <w:rsid w:val="00D2163D"/>
    <w:rsid w:val="00D246E8"/>
    <w:rsid w:val="00D25463"/>
    <w:rsid w:val="00D254B3"/>
    <w:rsid w:val="00D26C63"/>
    <w:rsid w:val="00D30BC0"/>
    <w:rsid w:val="00D314E3"/>
    <w:rsid w:val="00D32FCA"/>
    <w:rsid w:val="00D330AE"/>
    <w:rsid w:val="00D33615"/>
    <w:rsid w:val="00D33667"/>
    <w:rsid w:val="00D33E43"/>
    <w:rsid w:val="00D3491D"/>
    <w:rsid w:val="00D362D9"/>
    <w:rsid w:val="00D36898"/>
    <w:rsid w:val="00D41244"/>
    <w:rsid w:val="00D41B29"/>
    <w:rsid w:val="00D43DC5"/>
    <w:rsid w:val="00D443DE"/>
    <w:rsid w:val="00D50F43"/>
    <w:rsid w:val="00D5283D"/>
    <w:rsid w:val="00D53935"/>
    <w:rsid w:val="00D544B6"/>
    <w:rsid w:val="00D54681"/>
    <w:rsid w:val="00D54902"/>
    <w:rsid w:val="00D555E0"/>
    <w:rsid w:val="00D55D07"/>
    <w:rsid w:val="00D55DAB"/>
    <w:rsid w:val="00D562BB"/>
    <w:rsid w:val="00D57651"/>
    <w:rsid w:val="00D60FE8"/>
    <w:rsid w:val="00D63795"/>
    <w:rsid w:val="00D66AF3"/>
    <w:rsid w:val="00D7038A"/>
    <w:rsid w:val="00D70CFC"/>
    <w:rsid w:val="00D71233"/>
    <w:rsid w:val="00D725A0"/>
    <w:rsid w:val="00D73CEB"/>
    <w:rsid w:val="00D7638D"/>
    <w:rsid w:val="00D76F2C"/>
    <w:rsid w:val="00D802DB"/>
    <w:rsid w:val="00D80B11"/>
    <w:rsid w:val="00D81221"/>
    <w:rsid w:val="00D8238C"/>
    <w:rsid w:val="00D8267C"/>
    <w:rsid w:val="00D82DB9"/>
    <w:rsid w:val="00D8448D"/>
    <w:rsid w:val="00D8453C"/>
    <w:rsid w:val="00D87A22"/>
    <w:rsid w:val="00D903FC"/>
    <w:rsid w:val="00D90637"/>
    <w:rsid w:val="00D9308B"/>
    <w:rsid w:val="00D950C0"/>
    <w:rsid w:val="00D95B28"/>
    <w:rsid w:val="00D95E50"/>
    <w:rsid w:val="00D961B8"/>
    <w:rsid w:val="00D96EC2"/>
    <w:rsid w:val="00D97740"/>
    <w:rsid w:val="00DA1537"/>
    <w:rsid w:val="00DA2FC7"/>
    <w:rsid w:val="00DA5846"/>
    <w:rsid w:val="00DA6831"/>
    <w:rsid w:val="00DA684B"/>
    <w:rsid w:val="00DB166A"/>
    <w:rsid w:val="00DB3D39"/>
    <w:rsid w:val="00DB542C"/>
    <w:rsid w:val="00DB5F14"/>
    <w:rsid w:val="00DB61A9"/>
    <w:rsid w:val="00DB7149"/>
    <w:rsid w:val="00DB7977"/>
    <w:rsid w:val="00DB7A9E"/>
    <w:rsid w:val="00DC02BF"/>
    <w:rsid w:val="00DC1302"/>
    <w:rsid w:val="00DC402C"/>
    <w:rsid w:val="00DC4A43"/>
    <w:rsid w:val="00DC5085"/>
    <w:rsid w:val="00DC6579"/>
    <w:rsid w:val="00DC6C0A"/>
    <w:rsid w:val="00DD01B2"/>
    <w:rsid w:val="00DD02BB"/>
    <w:rsid w:val="00DD0D47"/>
    <w:rsid w:val="00DD292E"/>
    <w:rsid w:val="00DD37BB"/>
    <w:rsid w:val="00DD4247"/>
    <w:rsid w:val="00DD4652"/>
    <w:rsid w:val="00DD6110"/>
    <w:rsid w:val="00DD6933"/>
    <w:rsid w:val="00DD6D15"/>
    <w:rsid w:val="00DD7A93"/>
    <w:rsid w:val="00DD7E5C"/>
    <w:rsid w:val="00DE2087"/>
    <w:rsid w:val="00DE386A"/>
    <w:rsid w:val="00DE4BBD"/>
    <w:rsid w:val="00DE648D"/>
    <w:rsid w:val="00DE6A4C"/>
    <w:rsid w:val="00DF3DBD"/>
    <w:rsid w:val="00DF4B48"/>
    <w:rsid w:val="00DF4F54"/>
    <w:rsid w:val="00DF7DF8"/>
    <w:rsid w:val="00E00F0F"/>
    <w:rsid w:val="00E01115"/>
    <w:rsid w:val="00E037C3"/>
    <w:rsid w:val="00E03C31"/>
    <w:rsid w:val="00E052E7"/>
    <w:rsid w:val="00E057E9"/>
    <w:rsid w:val="00E0701F"/>
    <w:rsid w:val="00E10DE9"/>
    <w:rsid w:val="00E126F4"/>
    <w:rsid w:val="00E134D4"/>
    <w:rsid w:val="00E14E23"/>
    <w:rsid w:val="00E1625D"/>
    <w:rsid w:val="00E17D34"/>
    <w:rsid w:val="00E207B2"/>
    <w:rsid w:val="00E21AEF"/>
    <w:rsid w:val="00E22531"/>
    <w:rsid w:val="00E2526D"/>
    <w:rsid w:val="00E25DE1"/>
    <w:rsid w:val="00E27961"/>
    <w:rsid w:val="00E27C9B"/>
    <w:rsid w:val="00E313F2"/>
    <w:rsid w:val="00E32E6A"/>
    <w:rsid w:val="00E3416B"/>
    <w:rsid w:val="00E34C57"/>
    <w:rsid w:val="00E36791"/>
    <w:rsid w:val="00E40F70"/>
    <w:rsid w:val="00E41EE0"/>
    <w:rsid w:val="00E425F0"/>
    <w:rsid w:val="00E436CE"/>
    <w:rsid w:val="00E46CBA"/>
    <w:rsid w:val="00E509C3"/>
    <w:rsid w:val="00E513DA"/>
    <w:rsid w:val="00E53BB5"/>
    <w:rsid w:val="00E53FDC"/>
    <w:rsid w:val="00E55B65"/>
    <w:rsid w:val="00E55EEB"/>
    <w:rsid w:val="00E6289F"/>
    <w:rsid w:val="00E63C51"/>
    <w:rsid w:val="00E6487A"/>
    <w:rsid w:val="00E65413"/>
    <w:rsid w:val="00E6595C"/>
    <w:rsid w:val="00E6639C"/>
    <w:rsid w:val="00E6773F"/>
    <w:rsid w:val="00E724BC"/>
    <w:rsid w:val="00E73944"/>
    <w:rsid w:val="00E740E3"/>
    <w:rsid w:val="00E75808"/>
    <w:rsid w:val="00E80C55"/>
    <w:rsid w:val="00E8238E"/>
    <w:rsid w:val="00E82A1F"/>
    <w:rsid w:val="00E839FD"/>
    <w:rsid w:val="00E87B0D"/>
    <w:rsid w:val="00E87D0B"/>
    <w:rsid w:val="00E91422"/>
    <w:rsid w:val="00E93B80"/>
    <w:rsid w:val="00E94857"/>
    <w:rsid w:val="00E9540C"/>
    <w:rsid w:val="00E9633C"/>
    <w:rsid w:val="00E96744"/>
    <w:rsid w:val="00E969E7"/>
    <w:rsid w:val="00E97BD4"/>
    <w:rsid w:val="00EA0B88"/>
    <w:rsid w:val="00EA10A8"/>
    <w:rsid w:val="00EA127D"/>
    <w:rsid w:val="00EA42C8"/>
    <w:rsid w:val="00EA49D8"/>
    <w:rsid w:val="00EA5F34"/>
    <w:rsid w:val="00EA66FC"/>
    <w:rsid w:val="00EA7A5B"/>
    <w:rsid w:val="00EB1FBF"/>
    <w:rsid w:val="00EB323C"/>
    <w:rsid w:val="00EB53B2"/>
    <w:rsid w:val="00EB58AC"/>
    <w:rsid w:val="00EB7462"/>
    <w:rsid w:val="00EC1AE5"/>
    <w:rsid w:val="00EC1C25"/>
    <w:rsid w:val="00EC2B0A"/>
    <w:rsid w:val="00EC43F1"/>
    <w:rsid w:val="00EC4AA6"/>
    <w:rsid w:val="00EC6895"/>
    <w:rsid w:val="00EC7376"/>
    <w:rsid w:val="00ED0950"/>
    <w:rsid w:val="00ED0AFE"/>
    <w:rsid w:val="00ED0DE4"/>
    <w:rsid w:val="00ED13F0"/>
    <w:rsid w:val="00ED1788"/>
    <w:rsid w:val="00ED296C"/>
    <w:rsid w:val="00ED5025"/>
    <w:rsid w:val="00ED6496"/>
    <w:rsid w:val="00ED68FD"/>
    <w:rsid w:val="00ED6D49"/>
    <w:rsid w:val="00EE155D"/>
    <w:rsid w:val="00EE390F"/>
    <w:rsid w:val="00EE4D3C"/>
    <w:rsid w:val="00EE52D0"/>
    <w:rsid w:val="00EE58AE"/>
    <w:rsid w:val="00EE67C0"/>
    <w:rsid w:val="00EE7619"/>
    <w:rsid w:val="00EE76C3"/>
    <w:rsid w:val="00EE79EE"/>
    <w:rsid w:val="00EF0571"/>
    <w:rsid w:val="00EF079B"/>
    <w:rsid w:val="00EF2D62"/>
    <w:rsid w:val="00EF3BB2"/>
    <w:rsid w:val="00EF6C2F"/>
    <w:rsid w:val="00EF7FE7"/>
    <w:rsid w:val="00F010DA"/>
    <w:rsid w:val="00F01C02"/>
    <w:rsid w:val="00F01E25"/>
    <w:rsid w:val="00F02312"/>
    <w:rsid w:val="00F028F5"/>
    <w:rsid w:val="00F045C5"/>
    <w:rsid w:val="00F05750"/>
    <w:rsid w:val="00F07384"/>
    <w:rsid w:val="00F12169"/>
    <w:rsid w:val="00F12367"/>
    <w:rsid w:val="00F13487"/>
    <w:rsid w:val="00F14B59"/>
    <w:rsid w:val="00F14FBB"/>
    <w:rsid w:val="00F1579D"/>
    <w:rsid w:val="00F1640E"/>
    <w:rsid w:val="00F166B2"/>
    <w:rsid w:val="00F1751B"/>
    <w:rsid w:val="00F204DE"/>
    <w:rsid w:val="00F21298"/>
    <w:rsid w:val="00F22D5C"/>
    <w:rsid w:val="00F25643"/>
    <w:rsid w:val="00F2797F"/>
    <w:rsid w:val="00F31C5E"/>
    <w:rsid w:val="00F35C0C"/>
    <w:rsid w:val="00F3657C"/>
    <w:rsid w:val="00F37A15"/>
    <w:rsid w:val="00F43DAC"/>
    <w:rsid w:val="00F47697"/>
    <w:rsid w:val="00F4786D"/>
    <w:rsid w:val="00F50122"/>
    <w:rsid w:val="00F5149D"/>
    <w:rsid w:val="00F527B9"/>
    <w:rsid w:val="00F531B0"/>
    <w:rsid w:val="00F542AB"/>
    <w:rsid w:val="00F545F0"/>
    <w:rsid w:val="00F55044"/>
    <w:rsid w:val="00F558B5"/>
    <w:rsid w:val="00F56C2A"/>
    <w:rsid w:val="00F61204"/>
    <w:rsid w:val="00F628D6"/>
    <w:rsid w:val="00F6586F"/>
    <w:rsid w:val="00F66FAD"/>
    <w:rsid w:val="00F704A9"/>
    <w:rsid w:val="00F707BC"/>
    <w:rsid w:val="00F709F7"/>
    <w:rsid w:val="00F73755"/>
    <w:rsid w:val="00F73FE4"/>
    <w:rsid w:val="00F7484D"/>
    <w:rsid w:val="00F749FB"/>
    <w:rsid w:val="00F751A7"/>
    <w:rsid w:val="00F763A9"/>
    <w:rsid w:val="00F768AF"/>
    <w:rsid w:val="00F8188E"/>
    <w:rsid w:val="00F82BAB"/>
    <w:rsid w:val="00F86CEB"/>
    <w:rsid w:val="00F92A1A"/>
    <w:rsid w:val="00F92C0E"/>
    <w:rsid w:val="00F93710"/>
    <w:rsid w:val="00F94D02"/>
    <w:rsid w:val="00FA041E"/>
    <w:rsid w:val="00FA1317"/>
    <w:rsid w:val="00FA16A7"/>
    <w:rsid w:val="00FA2394"/>
    <w:rsid w:val="00FA2DCD"/>
    <w:rsid w:val="00FA3203"/>
    <w:rsid w:val="00FA49D8"/>
    <w:rsid w:val="00FA4C2F"/>
    <w:rsid w:val="00FA5143"/>
    <w:rsid w:val="00FA5FFD"/>
    <w:rsid w:val="00FB05A1"/>
    <w:rsid w:val="00FB2E15"/>
    <w:rsid w:val="00FB2E59"/>
    <w:rsid w:val="00FB30B6"/>
    <w:rsid w:val="00FB372F"/>
    <w:rsid w:val="00FB69D3"/>
    <w:rsid w:val="00FC1B3C"/>
    <w:rsid w:val="00FC442B"/>
    <w:rsid w:val="00FC54D8"/>
    <w:rsid w:val="00FC695F"/>
    <w:rsid w:val="00FD075A"/>
    <w:rsid w:val="00FD0841"/>
    <w:rsid w:val="00FD10E7"/>
    <w:rsid w:val="00FD1150"/>
    <w:rsid w:val="00FD185A"/>
    <w:rsid w:val="00FD211E"/>
    <w:rsid w:val="00FD3F1B"/>
    <w:rsid w:val="00FD7077"/>
    <w:rsid w:val="00FD7518"/>
    <w:rsid w:val="00FD7953"/>
    <w:rsid w:val="00FE0F85"/>
    <w:rsid w:val="00FE18D5"/>
    <w:rsid w:val="00FE2252"/>
    <w:rsid w:val="00FE26EF"/>
    <w:rsid w:val="00FE30FA"/>
    <w:rsid w:val="00FE3B3B"/>
    <w:rsid w:val="00FE3C24"/>
    <w:rsid w:val="00FE3E90"/>
    <w:rsid w:val="00FE4295"/>
    <w:rsid w:val="00FE46BE"/>
    <w:rsid w:val="00FE4753"/>
    <w:rsid w:val="00FE4CFF"/>
    <w:rsid w:val="00FE5F63"/>
    <w:rsid w:val="00FE64C6"/>
    <w:rsid w:val="00FE6CE0"/>
    <w:rsid w:val="00FE6D69"/>
    <w:rsid w:val="00FE777C"/>
    <w:rsid w:val="00FF0E28"/>
    <w:rsid w:val="00FF1A2F"/>
    <w:rsid w:val="00FF23C1"/>
    <w:rsid w:val="00FF3387"/>
    <w:rsid w:val="00FF3FA1"/>
    <w:rsid w:val="00FF41D4"/>
    <w:rsid w:val="00FF5053"/>
    <w:rsid w:val="00FF52E2"/>
    <w:rsid w:val="00FF538D"/>
    <w:rsid w:val="00FF5F21"/>
    <w:rsid w:val="00FF6E3F"/>
    <w:rsid w:val="018102F3"/>
    <w:rsid w:val="01E734A6"/>
    <w:rsid w:val="02844809"/>
    <w:rsid w:val="02B05119"/>
    <w:rsid w:val="0312077F"/>
    <w:rsid w:val="03C22DCE"/>
    <w:rsid w:val="040E3385"/>
    <w:rsid w:val="043B3A25"/>
    <w:rsid w:val="064F15F5"/>
    <w:rsid w:val="06D5233F"/>
    <w:rsid w:val="070B19BD"/>
    <w:rsid w:val="074F7D11"/>
    <w:rsid w:val="07A41008"/>
    <w:rsid w:val="087D3F0E"/>
    <w:rsid w:val="08800A91"/>
    <w:rsid w:val="090558B5"/>
    <w:rsid w:val="09F4138D"/>
    <w:rsid w:val="0A0F5EA5"/>
    <w:rsid w:val="0AB105A1"/>
    <w:rsid w:val="0AB76CA5"/>
    <w:rsid w:val="0ABD14B1"/>
    <w:rsid w:val="0B0814FC"/>
    <w:rsid w:val="0B7659B2"/>
    <w:rsid w:val="0BB34362"/>
    <w:rsid w:val="0DFF5E1F"/>
    <w:rsid w:val="0E0E3B72"/>
    <w:rsid w:val="11603D41"/>
    <w:rsid w:val="11AF149D"/>
    <w:rsid w:val="11B270A9"/>
    <w:rsid w:val="12963294"/>
    <w:rsid w:val="132144ED"/>
    <w:rsid w:val="1332618E"/>
    <w:rsid w:val="1387255D"/>
    <w:rsid w:val="13D80223"/>
    <w:rsid w:val="142005EA"/>
    <w:rsid w:val="1435649A"/>
    <w:rsid w:val="14B445D2"/>
    <w:rsid w:val="14B67EC0"/>
    <w:rsid w:val="15671759"/>
    <w:rsid w:val="16D46832"/>
    <w:rsid w:val="16D974B9"/>
    <w:rsid w:val="173C2BB6"/>
    <w:rsid w:val="17741375"/>
    <w:rsid w:val="182B2C7F"/>
    <w:rsid w:val="1A2E2EF1"/>
    <w:rsid w:val="1A7217BB"/>
    <w:rsid w:val="1A730049"/>
    <w:rsid w:val="1A7E23A1"/>
    <w:rsid w:val="1A8361AF"/>
    <w:rsid w:val="1B0E6A3B"/>
    <w:rsid w:val="1BA165C7"/>
    <w:rsid w:val="1BFF6AD3"/>
    <w:rsid w:val="1CA53BCF"/>
    <w:rsid w:val="1D797062"/>
    <w:rsid w:val="1DF246B4"/>
    <w:rsid w:val="1F784296"/>
    <w:rsid w:val="1F817809"/>
    <w:rsid w:val="1F9D4438"/>
    <w:rsid w:val="1FA80C9A"/>
    <w:rsid w:val="1FC40931"/>
    <w:rsid w:val="20C01EA2"/>
    <w:rsid w:val="218F52A7"/>
    <w:rsid w:val="222029A0"/>
    <w:rsid w:val="2256026F"/>
    <w:rsid w:val="229649AF"/>
    <w:rsid w:val="23252498"/>
    <w:rsid w:val="23310B2B"/>
    <w:rsid w:val="237C6A63"/>
    <w:rsid w:val="2449028F"/>
    <w:rsid w:val="250C4558"/>
    <w:rsid w:val="25232E4D"/>
    <w:rsid w:val="255F3A7B"/>
    <w:rsid w:val="26565362"/>
    <w:rsid w:val="269274DE"/>
    <w:rsid w:val="26D46243"/>
    <w:rsid w:val="27511BB9"/>
    <w:rsid w:val="277E32ED"/>
    <w:rsid w:val="279430E6"/>
    <w:rsid w:val="27B318B0"/>
    <w:rsid w:val="2804380E"/>
    <w:rsid w:val="284366C2"/>
    <w:rsid w:val="284B4947"/>
    <w:rsid w:val="28A9662A"/>
    <w:rsid w:val="28B834BE"/>
    <w:rsid w:val="28CA0FE4"/>
    <w:rsid w:val="290E5B66"/>
    <w:rsid w:val="297E71C7"/>
    <w:rsid w:val="29890D38"/>
    <w:rsid w:val="29AC4798"/>
    <w:rsid w:val="29CF7E20"/>
    <w:rsid w:val="2A1A7135"/>
    <w:rsid w:val="2A4F0724"/>
    <w:rsid w:val="2A710F14"/>
    <w:rsid w:val="2B0758A7"/>
    <w:rsid w:val="2B257AB5"/>
    <w:rsid w:val="2B351FE0"/>
    <w:rsid w:val="2B354299"/>
    <w:rsid w:val="2B427ECA"/>
    <w:rsid w:val="2B8C18DC"/>
    <w:rsid w:val="2BCF669F"/>
    <w:rsid w:val="2C1A4DAE"/>
    <w:rsid w:val="2C60541E"/>
    <w:rsid w:val="2C94457A"/>
    <w:rsid w:val="2CF344F1"/>
    <w:rsid w:val="2E895337"/>
    <w:rsid w:val="2ECF2B03"/>
    <w:rsid w:val="2EF7232F"/>
    <w:rsid w:val="2EFC6F62"/>
    <w:rsid w:val="2F9E300F"/>
    <w:rsid w:val="2FD123F6"/>
    <w:rsid w:val="30327943"/>
    <w:rsid w:val="3034611C"/>
    <w:rsid w:val="30AC0F8F"/>
    <w:rsid w:val="31460100"/>
    <w:rsid w:val="31D83A72"/>
    <w:rsid w:val="345E7AD4"/>
    <w:rsid w:val="346E2F87"/>
    <w:rsid w:val="349E315C"/>
    <w:rsid w:val="34C52EE4"/>
    <w:rsid w:val="34C8614A"/>
    <w:rsid w:val="35795E3A"/>
    <w:rsid w:val="36836289"/>
    <w:rsid w:val="36EF6863"/>
    <w:rsid w:val="38510E2B"/>
    <w:rsid w:val="38ED4CAD"/>
    <w:rsid w:val="39A318A2"/>
    <w:rsid w:val="39FD1DE9"/>
    <w:rsid w:val="3AA81763"/>
    <w:rsid w:val="3B4A334F"/>
    <w:rsid w:val="3B866C73"/>
    <w:rsid w:val="3B870F85"/>
    <w:rsid w:val="3C22403A"/>
    <w:rsid w:val="3C280945"/>
    <w:rsid w:val="3C4B4543"/>
    <w:rsid w:val="3CAA4DBC"/>
    <w:rsid w:val="3D1C46FF"/>
    <w:rsid w:val="3D302C36"/>
    <w:rsid w:val="3D3D16D7"/>
    <w:rsid w:val="3D6B43B2"/>
    <w:rsid w:val="3DCD7DF1"/>
    <w:rsid w:val="3DD72440"/>
    <w:rsid w:val="3E2B6606"/>
    <w:rsid w:val="3F0217C4"/>
    <w:rsid w:val="3F7D1B89"/>
    <w:rsid w:val="40A65090"/>
    <w:rsid w:val="40AE358F"/>
    <w:rsid w:val="40B909CB"/>
    <w:rsid w:val="41653D56"/>
    <w:rsid w:val="41B216F5"/>
    <w:rsid w:val="424105E2"/>
    <w:rsid w:val="42E21143"/>
    <w:rsid w:val="42FC001C"/>
    <w:rsid w:val="430302D4"/>
    <w:rsid w:val="45595075"/>
    <w:rsid w:val="46060C47"/>
    <w:rsid w:val="46501CCA"/>
    <w:rsid w:val="47C153ED"/>
    <w:rsid w:val="48257F4A"/>
    <w:rsid w:val="48E17A71"/>
    <w:rsid w:val="48E845AA"/>
    <w:rsid w:val="496916B2"/>
    <w:rsid w:val="49974DE4"/>
    <w:rsid w:val="4B3F0997"/>
    <w:rsid w:val="4B5A7072"/>
    <w:rsid w:val="4B7E1689"/>
    <w:rsid w:val="4BDF6645"/>
    <w:rsid w:val="4BF87AF6"/>
    <w:rsid w:val="4BF87CAE"/>
    <w:rsid w:val="4C266498"/>
    <w:rsid w:val="4C8948F7"/>
    <w:rsid w:val="4D144CB5"/>
    <w:rsid w:val="4D3C683C"/>
    <w:rsid w:val="4DB4312A"/>
    <w:rsid w:val="4DFB1A4D"/>
    <w:rsid w:val="4E616F61"/>
    <w:rsid w:val="4E77421C"/>
    <w:rsid w:val="4E7D5068"/>
    <w:rsid w:val="4EF62E2E"/>
    <w:rsid w:val="50014CC2"/>
    <w:rsid w:val="50514F5B"/>
    <w:rsid w:val="50BF3D4E"/>
    <w:rsid w:val="50E82E06"/>
    <w:rsid w:val="51477557"/>
    <w:rsid w:val="520B712C"/>
    <w:rsid w:val="52440495"/>
    <w:rsid w:val="52EB0F49"/>
    <w:rsid w:val="530C1471"/>
    <w:rsid w:val="542E5BA3"/>
    <w:rsid w:val="54AB28F0"/>
    <w:rsid w:val="550612F3"/>
    <w:rsid w:val="55CF1B52"/>
    <w:rsid w:val="56103D0C"/>
    <w:rsid w:val="563836CC"/>
    <w:rsid w:val="564A15FE"/>
    <w:rsid w:val="56987054"/>
    <w:rsid w:val="56B64537"/>
    <w:rsid w:val="57301D56"/>
    <w:rsid w:val="57393F91"/>
    <w:rsid w:val="577143F4"/>
    <w:rsid w:val="57972A2C"/>
    <w:rsid w:val="57E60AF9"/>
    <w:rsid w:val="58086BD1"/>
    <w:rsid w:val="592B4B53"/>
    <w:rsid w:val="59460B09"/>
    <w:rsid w:val="5A135A1B"/>
    <w:rsid w:val="5A4302B0"/>
    <w:rsid w:val="5A4D24B9"/>
    <w:rsid w:val="5AE64988"/>
    <w:rsid w:val="5B6B7CF5"/>
    <w:rsid w:val="5BD50408"/>
    <w:rsid w:val="5C9E4BF8"/>
    <w:rsid w:val="5CC310DA"/>
    <w:rsid w:val="5CFC3DFA"/>
    <w:rsid w:val="5D057FFC"/>
    <w:rsid w:val="5D4A5940"/>
    <w:rsid w:val="5D76543F"/>
    <w:rsid w:val="5E466370"/>
    <w:rsid w:val="5E68594F"/>
    <w:rsid w:val="5EB25A2A"/>
    <w:rsid w:val="5EE839AF"/>
    <w:rsid w:val="5F385AB1"/>
    <w:rsid w:val="5FD05E0C"/>
    <w:rsid w:val="60DA40EE"/>
    <w:rsid w:val="615341FB"/>
    <w:rsid w:val="61792D07"/>
    <w:rsid w:val="61A92497"/>
    <w:rsid w:val="61D53FBA"/>
    <w:rsid w:val="61D72852"/>
    <w:rsid w:val="6242105F"/>
    <w:rsid w:val="62543B4B"/>
    <w:rsid w:val="62875F4F"/>
    <w:rsid w:val="650F1E05"/>
    <w:rsid w:val="65363CD1"/>
    <w:rsid w:val="65852F56"/>
    <w:rsid w:val="65945326"/>
    <w:rsid w:val="66872B1B"/>
    <w:rsid w:val="668B7A47"/>
    <w:rsid w:val="66D40873"/>
    <w:rsid w:val="67511B0E"/>
    <w:rsid w:val="67B260F5"/>
    <w:rsid w:val="67E83141"/>
    <w:rsid w:val="690F17BC"/>
    <w:rsid w:val="698422CA"/>
    <w:rsid w:val="698B5AFB"/>
    <w:rsid w:val="69D314EA"/>
    <w:rsid w:val="6A166536"/>
    <w:rsid w:val="6A3E72BE"/>
    <w:rsid w:val="6A597D7E"/>
    <w:rsid w:val="6ADB5058"/>
    <w:rsid w:val="6BBC05A3"/>
    <w:rsid w:val="6C5D3216"/>
    <w:rsid w:val="6D544A16"/>
    <w:rsid w:val="6D602136"/>
    <w:rsid w:val="6D735F99"/>
    <w:rsid w:val="6DB80EEE"/>
    <w:rsid w:val="6E1548A1"/>
    <w:rsid w:val="6E9557C7"/>
    <w:rsid w:val="6FDE1F64"/>
    <w:rsid w:val="70003D0C"/>
    <w:rsid w:val="70423FE7"/>
    <w:rsid w:val="709E1172"/>
    <w:rsid w:val="71462076"/>
    <w:rsid w:val="71AF0BF5"/>
    <w:rsid w:val="71E61216"/>
    <w:rsid w:val="720D1E73"/>
    <w:rsid w:val="727612E7"/>
    <w:rsid w:val="72A9782F"/>
    <w:rsid w:val="73062DB0"/>
    <w:rsid w:val="740F745F"/>
    <w:rsid w:val="746F456E"/>
    <w:rsid w:val="748555F8"/>
    <w:rsid w:val="75112975"/>
    <w:rsid w:val="752628B8"/>
    <w:rsid w:val="76D67D9C"/>
    <w:rsid w:val="76E179E0"/>
    <w:rsid w:val="777B0397"/>
    <w:rsid w:val="7831309F"/>
    <w:rsid w:val="789813BC"/>
    <w:rsid w:val="790A56B3"/>
    <w:rsid w:val="7A4F2D98"/>
    <w:rsid w:val="7AEE3332"/>
    <w:rsid w:val="7B41436C"/>
    <w:rsid w:val="7B641109"/>
    <w:rsid w:val="7B872059"/>
    <w:rsid w:val="7BB56244"/>
    <w:rsid w:val="7BCC17C3"/>
    <w:rsid w:val="7CDC2FFF"/>
    <w:rsid w:val="7D4B745A"/>
    <w:rsid w:val="7F28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link w:val="29"/>
    <w:qFormat/>
    <w:uiPriority w:val="0"/>
    <w:pPr>
      <w:spacing w:before="9"/>
      <w:ind w:left="557"/>
    </w:pPr>
  </w:style>
  <w:style w:type="paragraph" w:styleId="4">
    <w:name w:val="Balloon Text"/>
    <w:basedOn w:val="1"/>
    <w:semiHidden/>
    <w:qFormat/>
    <w:uiPriority w:val="0"/>
    <w:rPr>
      <w:sz w:val="18"/>
      <w:szCs w:val="18"/>
    </w:rPr>
  </w:style>
  <w:style w:type="paragraph" w:styleId="5">
    <w:name w:val="footer"/>
    <w:basedOn w:val="1"/>
    <w:link w:val="20"/>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unhideWhenUsed/>
    <w:qFormat/>
    <w:uiPriority w:val="99"/>
    <w:rPr>
      <w:color w:val="0000FF"/>
      <w:u w:val="single"/>
    </w:rPr>
  </w:style>
  <w:style w:type="character" w:styleId="14">
    <w:name w:val="annotation reference"/>
    <w:semiHidden/>
    <w:qFormat/>
    <w:uiPriority w:val="0"/>
    <w:rPr>
      <w:sz w:val="21"/>
      <w:szCs w:val="21"/>
    </w:rPr>
  </w:style>
  <w:style w:type="character" w:customStyle="1" w:styleId="15">
    <w:name w:val="标题1"/>
    <w:basedOn w:val="11"/>
    <w:qFormat/>
    <w:uiPriority w:val="0"/>
  </w:style>
  <w:style w:type="character" w:customStyle="1" w:styleId="16">
    <w:name w:val="页眉 字符"/>
    <w:link w:val="6"/>
    <w:qFormat/>
    <w:uiPriority w:val="0"/>
    <w:rPr>
      <w:kern w:val="2"/>
      <w:sz w:val="18"/>
      <w:szCs w:val="18"/>
    </w:rPr>
  </w:style>
  <w:style w:type="character" w:customStyle="1" w:styleId="17">
    <w:name w:val="focus"/>
    <w:basedOn w:val="11"/>
    <w:qFormat/>
    <w:uiPriority w:val="0"/>
  </w:style>
  <w:style w:type="character" w:customStyle="1" w:styleId="18">
    <w:name w:val="style11"/>
    <w:qFormat/>
    <w:uiPriority w:val="0"/>
    <w:rPr>
      <w:b/>
      <w:bCs/>
      <w:sz w:val="22"/>
      <w:szCs w:val="22"/>
    </w:rPr>
  </w:style>
  <w:style w:type="character" w:customStyle="1" w:styleId="19">
    <w:name w:val="apple-converted-space"/>
    <w:basedOn w:val="11"/>
    <w:qFormat/>
    <w:uiPriority w:val="0"/>
  </w:style>
  <w:style w:type="character" w:customStyle="1" w:styleId="20">
    <w:name w:val="页脚 字符"/>
    <w:link w:val="5"/>
    <w:qFormat/>
    <w:uiPriority w:val="0"/>
    <w:rPr>
      <w:kern w:val="2"/>
      <w:sz w:val="18"/>
      <w:szCs w:val="18"/>
    </w:rPr>
  </w:style>
  <w:style w:type="paragraph" w:customStyle="1" w:styleId="21">
    <w:name w:val="Default Paragraph Font Para Char Char Char Char Char Char"/>
    <w:basedOn w:val="1"/>
    <w:qFormat/>
    <w:uiPriority w:val="0"/>
    <w:pPr>
      <w:widowControl/>
      <w:spacing w:after="160" w:line="240" w:lineRule="exact"/>
      <w:jc w:val="left"/>
    </w:pPr>
  </w:style>
  <w:style w:type="paragraph" w:customStyle="1" w:styleId="22">
    <w:name w:val="Char"/>
    <w:basedOn w:val="1"/>
    <w:qFormat/>
    <w:uiPriority w:val="0"/>
    <w:pPr>
      <w:spacing w:line="360" w:lineRule="auto"/>
    </w:pPr>
    <w:rPr>
      <w:szCs w:val="21"/>
    </w:rPr>
  </w:style>
  <w:style w:type="paragraph" w:customStyle="1" w:styleId="23">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 字符"/>
    <w:link w:val="3"/>
    <w:qFormat/>
    <w:uiPriority w:val="0"/>
    <w:rPr>
      <w:kern w:val="2"/>
      <w:sz w:val="21"/>
      <w:szCs w:val="24"/>
    </w:rPr>
  </w:style>
  <w:style w:type="paragraph" w:customStyle="1" w:styleId="30">
    <w:name w:val="Table Paragraph"/>
    <w:basedOn w:val="1"/>
    <w:qFormat/>
    <w:uiPriority w:val="1"/>
    <w:pPr>
      <w:spacing w:before="98"/>
      <w:jc w:val="cente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C2350-C98B-43AF-AD72-C70EE6E7BAD4}">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451</Words>
  <Characters>2572</Characters>
  <Lines>21</Lines>
  <Paragraphs>6</Paragraphs>
  <TotalTime>24</TotalTime>
  <ScaleCrop>false</ScaleCrop>
  <LinksUpToDate>false</LinksUpToDate>
  <CharactersWithSpaces>3017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2020-09-09T12:34:00Z</dcterms:created>
  <dc:creator>雨林木风</dc:creator>
  <cp:lastModifiedBy>Elsazy</cp:lastModifiedBy>
  <cp:lastPrinted>2019-08-29T00:43:00Z</cp:lastPrinted>
  <dcterms:modified xsi:type="dcterms:W3CDTF">2020-09-14T07:13:52Z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