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山东理工大学通识教育核心课建设指导标准(试行)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24"/>
        <w:gridCol w:w="1030"/>
        <w:gridCol w:w="4476"/>
        <w:gridCol w:w="2693"/>
        <w:gridCol w:w="2126"/>
        <w:gridCol w:w="129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指标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二级指标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主要观测点</w:t>
            </w:r>
          </w:p>
        </w:tc>
        <w:tc>
          <w:tcPr>
            <w:tcW w:w="447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A级要求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B级要求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C级要求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pacing w:val="8"/>
                <w:kern w:val="0"/>
                <w:szCs w:val="21"/>
              </w:rPr>
              <w:t>提供材料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spacing w:val="8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评估结果(A\B\C\D)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1.教学队伍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1课程负责人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]</w:t>
            </w: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及学位</w:t>
            </w:r>
          </w:p>
        </w:tc>
        <w:tc>
          <w:tcPr>
            <w:tcW w:w="447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具有副教授及以上职称，或博士学位。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具有讲师职称，或具有硕士学位。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具有讲师职称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pacing w:val="8"/>
                <w:kern w:val="0"/>
                <w:szCs w:val="21"/>
              </w:rPr>
              <w:t>学位及职称。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[2]</w:t>
            </w:r>
            <w:r>
              <w:rPr>
                <w:szCs w:val="21"/>
              </w:rPr>
              <w:t>教学水平</w:t>
            </w:r>
          </w:p>
        </w:tc>
        <w:tc>
          <w:tcPr>
            <w:tcW w:w="4476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立项以来至少主讲本课程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次，教学效果好，无教学事故。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立项以来至少主讲本课程两次，教学效果好，无教学事故。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立项以来至少主讲本课程两次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rPr>
                <w:spacing w:val="8"/>
                <w:kern w:val="0"/>
                <w:szCs w:val="21"/>
              </w:rPr>
            </w:pPr>
            <w:r>
              <w:rPr>
                <w:spacing w:val="8"/>
                <w:kern w:val="0"/>
                <w:szCs w:val="21"/>
              </w:rPr>
              <w:t>授课情况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2课程团队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[3]</w:t>
            </w:r>
            <w:r>
              <w:rPr>
                <w:szCs w:val="21"/>
              </w:rPr>
              <w:t>队伍结构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bCs/>
                <w:szCs w:val="21"/>
              </w:rPr>
              <w:t>团队总人数在 3 人以上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spacing w:val="8"/>
                <w:kern w:val="0"/>
                <w:szCs w:val="21"/>
              </w:rPr>
              <w:t>教学队伍硕士学位</w:t>
            </w:r>
            <w:r>
              <w:rPr>
                <w:rFonts w:ascii="宋体" w:hAnsi="宋体" w:eastAsia="宋体" w:cs="Times New Roman"/>
                <w:szCs w:val="21"/>
              </w:rPr>
              <w:t>≥</w:t>
            </w:r>
            <w:r>
              <w:rPr>
                <w:spacing w:val="8"/>
                <w:kern w:val="0"/>
                <w:szCs w:val="21"/>
              </w:rPr>
              <w:t>40%、副教授以上</w:t>
            </w:r>
            <w:r>
              <w:rPr>
                <w:rFonts w:ascii="宋体" w:hAnsi="宋体" w:eastAsia="宋体" w:cs="Times New Roman"/>
                <w:szCs w:val="21"/>
              </w:rPr>
              <w:t>≥</w:t>
            </w:r>
            <w:r>
              <w:rPr>
                <w:spacing w:val="8"/>
                <w:kern w:val="0"/>
                <w:szCs w:val="21"/>
              </w:rPr>
              <w:t>30%。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bCs/>
                <w:szCs w:val="21"/>
              </w:rPr>
              <w:t>团队总人数在 3 人以上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spacing w:val="8"/>
                <w:kern w:val="0"/>
                <w:szCs w:val="21"/>
              </w:rPr>
              <w:t>教学队伍硕士学位&gt;30%、副教授以上&gt;20%。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bCs/>
                <w:szCs w:val="21"/>
              </w:rPr>
              <w:t>团队总人数在 3 人以上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spacing w:val="8"/>
                <w:kern w:val="0"/>
                <w:szCs w:val="21"/>
              </w:rPr>
              <w:t>教学队伍学历、职称、年龄结构基本合理。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pacing w:val="8"/>
                <w:kern w:val="0"/>
                <w:szCs w:val="21"/>
              </w:rPr>
              <w:t>教学队伍结构情况</w:t>
            </w:r>
            <w:r>
              <w:rPr>
                <w:rFonts w:hint="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[4]</w:t>
            </w:r>
            <w:r>
              <w:rPr>
                <w:spacing w:val="8"/>
                <w:kern w:val="0"/>
                <w:szCs w:val="21"/>
              </w:rPr>
              <w:t>授课情况</w:t>
            </w:r>
          </w:p>
        </w:tc>
        <w:tc>
          <w:tcPr>
            <w:tcW w:w="447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所有团队成员立项以来至少上过一次该课程</w:t>
            </w:r>
            <w:r>
              <w:rPr>
                <w:spacing w:val="8"/>
                <w:kern w:val="0"/>
                <w:szCs w:val="21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2/3的</w:t>
            </w:r>
            <w:r>
              <w:rPr>
                <w:szCs w:val="21"/>
              </w:rPr>
              <w:t>团队成员立项以来至少上过一次该课程</w:t>
            </w:r>
            <w:r>
              <w:rPr>
                <w:spacing w:val="8"/>
                <w:kern w:val="0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1/3的</w:t>
            </w:r>
            <w:r>
              <w:rPr>
                <w:szCs w:val="21"/>
              </w:rPr>
              <w:t>团队成员立项以来至少上过一次该课程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  <w:r>
              <w:rPr>
                <w:spacing w:val="8"/>
                <w:kern w:val="0"/>
                <w:szCs w:val="21"/>
              </w:rPr>
              <w:t>授课情况</w:t>
            </w:r>
            <w:r>
              <w:rPr>
                <w:rFonts w:hint="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2.课程</w:t>
            </w:r>
            <w:r>
              <w:rPr>
                <w:rFonts w:hint="eastAsia"/>
                <w:szCs w:val="21"/>
              </w:rPr>
              <w:t>内容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1内容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[5]内容安排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对课程内容有明确的分析和定位，符合通识课程内容的要求且课时安排合理。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（通识课内容要求包括：</w:t>
            </w:r>
            <w:r>
              <w:rPr>
                <w:rFonts w:hint="eastAsia" w:ascii="Times New Roman" w:hAnsi="Times New Roman" w:cs="Times New Roman"/>
                <w:szCs w:val="21"/>
              </w:rPr>
              <w:t>基本性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有利于学生了解人类最基本的知识领域和思维方法；整合性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对不同学科领域的内容进行融合贯通和完整认识；引导性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有利于发展学生的完备理性、健康人格、美好情感；普适性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不以预先修习系统性专业知识为前提，对不同专业的学生普遍适用</w:t>
            </w:r>
            <w:r>
              <w:rPr>
                <w:rFonts w:hint="eastAsia"/>
                <w:szCs w:val="21"/>
              </w:rPr>
              <w:t>等。）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课程内容定位和安排合理。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教学内容定位和安排基本合理。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[6]内容建设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教学内容建设工作显著，包括：丰富、充实教学内容；增加教学内容的生动性、形象化；增加学生参与学习活动的内容等。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有教学内容建设方面的规划和努力。</w:t>
            </w:r>
          </w:p>
          <w:p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有教学内容方面建设规划。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/>
              </w:rPr>
              <w:t>教学资料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[7]ppt或教案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涵盖课程3/4内容有教学</w:t>
            </w:r>
            <w:r>
              <w:rPr>
                <w:szCs w:val="21"/>
              </w:rPr>
              <w:t>PPT 或教案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涵盖课程2/3内容有教学</w:t>
            </w:r>
            <w:r>
              <w:rPr>
                <w:szCs w:val="21"/>
              </w:rPr>
              <w:t>PPT 或教案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涵盖课程1/3内容有教学</w:t>
            </w:r>
            <w:r>
              <w:rPr>
                <w:szCs w:val="21"/>
              </w:rPr>
              <w:t>PPT或教案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[8]其它教学资料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涵盖课程3/4内容有</w:t>
            </w:r>
            <w:r>
              <w:rPr>
                <w:szCs w:val="21"/>
              </w:rPr>
              <w:t>配套教学的其它教学资料（图片、视频、案例等）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涵盖课程2/3内容</w:t>
            </w:r>
            <w:r>
              <w:rPr>
                <w:szCs w:val="21"/>
              </w:rPr>
              <w:t>有配套教学的其它教学资料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涵盖课程1/3内容有</w:t>
            </w:r>
            <w:r>
              <w:rPr>
                <w:szCs w:val="21"/>
              </w:rPr>
              <w:t>其它教学资料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2.3学习资料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[9]</w:t>
            </w:r>
            <w:r>
              <w:rPr>
                <w:rFonts w:hint="eastAsia"/>
                <w:szCs w:val="21"/>
              </w:rPr>
              <w:t>学生学习资料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对应</w:t>
            </w:r>
            <w:r>
              <w:rPr>
                <w:rFonts w:hint="eastAsia"/>
                <w:szCs w:val="21"/>
              </w:rPr>
              <w:t>2/3及以上</w:t>
            </w:r>
            <w:r>
              <w:rPr>
                <w:szCs w:val="21"/>
              </w:rPr>
              <w:t>教学模块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为学生提供经典阅读的参考书目、学习参考资料等，针对性强。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对应</w:t>
            </w:r>
            <w:r>
              <w:rPr>
                <w:rFonts w:hint="eastAsia"/>
                <w:szCs w:val="21"/>
              </w:rPr>
              <w:t>1/2及以上</w:t>
            </w:r>
            <w:r>
              <w:rPr>
                <w:szCs w:val="21"/>
              </w:rPr>
              <w:t>教学模块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参考书和参考资料的推荐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对应</w:t>
            </w:r>
            <w:r>
              <w:rPr>
                <w:rFonts w:hint="eastAsia"/>
                <w:szCs w:val="21"/>
              </w:rPr>
              <w:t>1/3教学模块有</w:t>
            </w:r>
            <w:r>
              <w:rPr>
                <w:szCs w:val="21"/>
              </w:rPr>
              <w:t>参考书目和参考资料的推荐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3.教学过程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1课堂教学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[10]</w:t>
            </w:r>
            <w:r>
              <w:rPr>
                <w:szCs w:val="21"/>
              </w:rPr>
              <w:t>教学设计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注重教学方法的改革，</w:t>
            </w:r>
            <w:r>
              <w:rPr>
                <w:szCs w:val="21"/>
              </w:rPr>
              <w:t>灵活运用多种教学方法，</w:t>
            </w:r>
            <w:r>
              <w:rPr>
                <w:rFonts w:hint="eastAsia"/>
                <w:szCs w:val="21"/>
              </w:rPr>
              <w:t>增加学生的学习参与和学习体验（包括</w:t>
            </w:r>
            <w:r>
              <w:rPr>
                <w:rFonts w:hint="eastAsia" w:ascii="Times New Roman" w:hAnsi="Times New Roman" w:cs="Times New Roman"/>
                <w:szCs w:val="21"/>
              </w:rPr>
              <w:t>增加实操实训活动</w:t>
            </w:r>
            <w:r>
              <w:rPr>
                <w:rFonts w:hint="eastAsia"/>
                <w:szCs w:val="21"/>
              </w:rPr>
              <w:t>；开展</w:t>
            </w:r>
            <w:r>
              <w:rPr>
                <w:rFonts w:hint="eastAsia" w:ascii="Times New Roman" w:hAnsi="Times New Roman" w:cs="Times New Roman"/>
                <w:szCs w:val="21"/>
              </w:rPr>
              <w:t>经典阅读、深度讨论、思辩分析，并在此基础上形成课程学习作品；</w:t>
            </w:r>
            <w:r>
              <w:rPr>
                <w:rFonts w:hint="eastAsia"/>
                <w:szCs w:val="21"/>
              </w:rPr>
              <w:t>开展</w:t>
            </w:r>
            <w:r>
              <w:rPr>
                <w:rFonts w:hint="eastAsia" w:ascii="Times New Roman" w:hAnsi="Times New Roman" w:cs="Times New Roman"/>
                <w:szCs w:val="21"/>
              </w:rPr>
              <w:t>问题探究式、实验实践参与式等多种教学方法</w:t>
            </w:r>
            <w:r>
              <w:rPr>
                <w:rFonts w:hint="eastAsia"/>
                <w:szCs w:val="21"/>
              </w:rPr>
              <w:t>等。）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注重教学方法的改革，能够</w:t>
            </w:r>
            <w:r>
              <w:rPr>
                <w:szCs w:val="21"/>
              </w:rPr>
              <w:t>运用多种教学方法提高学生学习效果。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有教学设计和教学案例。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提供</w:t>
            </w:r>
            <w:r>
              <w:rPr>
                <w:rFonts w:hint="eastAsia"/>
                <w:szCs w:val="21"/>
              </w:rPr>
              <w:t>教学设计，教学案例、部分视频或照片、学生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等支撑材料。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[11]</w:t>
            </w:r>
            <w:r>
              <w:rPr>
                <w:kern w:val="0"/>
                <w:szCs w:val="21"/>
              </w:rPr>
              <w:t>教学</w:t>
            </w:r>
            <w:r>
              <w:rPr>
                <w:rFonts w:hint="eastAsia"/>
                <w:kern w:val="0"/>
                <w:szCs w:val="21"/>
              </w:rPr>
              <w:t>组织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教师能有效地组织和调控教学过程，师生互动良好。教师的主导性、学生的主体性得到充分体现。</w:t>
            </w:r>
          </w:p>
        </w:tc>
        <w:tc>
          <w:tcPr>
            <w:tcW w:w="2693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教师能</w:t>
            </w:r>
            <w:r>
              <w:rPr>
                <w:rFonts w:hint="eastAsia"/>
                <w:kern w:val="0"/>
                <w:szCs w:val="21"/>
              </w:rPr>
              <w:t>较好的</w:t>
            </w:r>
            <w:r>
              <w:rPr>
                <w:kern w:val="0"/>
                <w:szCs w:val="21"/>
              </w:rPr>
              <w:t>组织和调控教学过程，师生互动良好。教师的主导性、学生的主体性得到较充分体</w:t>
            </w:r>
            <w:r>
              <w:rPr>
                <w:rFonts w:hint="eastAsia"/>
                <w:kern w:val="0"/>
                <w:szCs w:val="21"/>
              </w:rPr>
              <w:t>现。</w:t>
            </w:r>
          </w:p>
        </w:tc>
        <w:tc>
          <w:tcPr>
            <w:tcW w:w="212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教师能组织和调控教学过程，</w:t>
            </w:r>
            <w:r>
              <w:rPr>
                <w:rFonts w:hint="eastAsia"/>
                <w:kern w:val="0"/>
                <w:szCs w:val="21"/>
              </w:rPr>
              <w:t>师生有一定的互动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课堂照片、录像等。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 混合式教学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[12]混合式教学活动</w:t>
            </w:r>
          </w:p>
        </w:tc>
        <w:tc>
          <w:tcPr>
            <w:tcW w:w="447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开展混合式教学并达到学校“良好”或以上应用层次的要求；</w:t>
            </w:r>
          </w:p>
        </w:tc>
        <w:tc>
          <w:tcPr>
            <w:tcW w:w="2693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开展混合式教学并达到学校“中等”或以上应用层次的要求；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未开展混合式教学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网络教学平台</w:t>
            </w:r>
          </w:p>
        </w:tc>
        <w:tc>
          <w:tcPr>
            <w:tcW w:w="1293" w:type="dxa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3.3学习成绩评定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[13]评价方案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注重学生学习过程和学习体验，形成性评价</w:t>
            </w:r>
            <w:r>
              <w:rPr>
                <w:szCs w:val="21"/>
              </w:rPr>
              <w:t>方案设计合理，根据学生学习表现确定成绩，且打分项目</w:t>
            </w:r>
            <w:r>
              <w:rPr>
                <w:rFonts w:hint="eastAsia" w:asciiTheme="minorEastAsia" w:hAnsiTheme="minorEastAsia"/>
                <w:szCs w:val="21"/>
              </w:rPr>
              <w:t>≥3项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有形成性评价方案，但打分项目</w:t>
            </w:r>
            <w:r>
              <w:rPr>
                <w:rFonts w:hint="eastAsia" w:asciiTheme="minorEastAsia" w:hAnsiTheme="minorEastAsia"/>
                <w:szCs w:val="21"/>
              </w:rPr>
              <w:t>≦2项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无形成性评价方案，实施终结性评价</w:t>
            </w:r>
          </w:p>
          <w:p>
            <w:pPr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[14]评价依据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有完备的用于成绩评定的学生学习情况相关资料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有用于成绩评定的</w:t>
            </w:r>
            <w:r>
              <w:rPr>
                <w:szCs w:val="21"/>
              </w:rPr>
              <w:t>学生学习相关资料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用于成绩评定的</w:t>
            </w:r>
            <w:r>
              <w:rPr>
                <w:szCs w:val="21"/>
              </w:rPr>
              <w:t>学生学习相关资料较少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.教学效果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4.1学生学习参与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[15]到课率</w:t>
            </w:r>
          </w:p>
        </w:tc>
        <w:tc>
          <w:tcPr>
            <w:tcW w:w="447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抽查学生到课率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90%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学生到课率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85%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学生到课率不足80%</w:t>
            </w:r>
          </w:p>
        </w:tc>
        <w:tc>
          <w:tcPr>
            <w:tcW w:w="1290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抽查学生到课率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学生问卷调查截图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[16]学习活动参与</w:t>
            </w:r>
          </w:p>
        </w:tc>
        <w:tc>
          <w:tcPr>
            <w:tcW w:w="44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教学活动学生平均参与度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 w:ascii="宋体" w:hAnsi="宋体"/>
              </w:rPr>
              <w:t>85</w:t>
            </w:r>
            <w:r>
              <w:rPr>
                <w:rFonts w:ascii="宋体" w:hAnsi="宋体"/>
              </w:rPr>
              <w:t xml:space="preserve">% 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教学活动学生平均参与度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 w:ascii="宋体" w:hAnsi="宋体"/>
              </w:rPr>
              <w:t>75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教学活动学生平均参与度不到75</w:t>
            </w:r>
            <w:r>
              <w:rPr>
                <w:rFonts w:ascii="宋体" w:hAnsi="宋体"/>
              </w:rPr>
              <w:t xml:space="preserve">% 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点名册</w:t>
            </w:r>
            <w:r>
              <w:rPr>
                <w:rFonts w:hint="eastAsia" w:ascii="宋体" w:hAnsi="宋体"/>
              </w:rPr>
              <w:t>等教学活动相关资料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学生评价</w:t>
            </w:r>
          </w:p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[17]学生学习满意度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学生对课程教学满意度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szCs w:val="21"/>
              </w:rPr>
              <w:t>90%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学生对课程教学满意度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%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学生对课程教学满意度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0%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</w:t>
            </w:r>
            <w:r>
              <w:rPr>
                <w:szCs w:val="21"/>
              </w:rPr>
              <w:t>调查问卷</w:t>
            </w:r>
            <w:r>
              <w:rPr>
                <w:rFonts w:hint="eastAsia"/>
                <w:szCs w:val="21"/>
              </w:rPr>
              <w:t>结果截图。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[18]</w:t>
            </w:r>
            <w:r>
              <w:rPr>
                <w:rFonts w:hint="eastAsia"/>
                <w:szCs w:val="21"/>
              </w:rPr>
              <w:t>教学评价</w:t>
            </w:r>
          </w:p>
        </w:tc>
        <w:tc>
          <w:tcPr>
            <w:tcW w:w="447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课程组成员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年度教学评价结果</w:t>
            </w:r>
            <w:r>
              <w:rPr>
                <w:rFonts w:hint="eastAsia"/>
                <w:kern w:val="0"/>
                <w:szCs w:val="21"/>
              </w:rPr>
              <w:t>为优秀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课题组成员的</w:t>
            </w: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年度教学评价结果良好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课题组成员的</w:t>
            </w: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年度教学评价结果</w:t>
            </w:r>
            <w:r>
              <w:rPr>
                <w:rFonts w:hint="eastAsia"/>
                <w:szCs w:val="21"/>
              </w:rPr>
              <w:t>中等。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.课程建设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  <w:r>
              <w:rPr>
                <w:szCs w:val="21"/>
              </w:rPr>
              <w:t>教学管理</w:t>
            </w: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[19]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基本教学资料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基本教学</w:t>
            </w:r>
            <w:r>
              <w:rPr>
                <w:rFonts w:hint="eastAsia"/>
                <w:kern w:val="0"/>
                <w:szCs w:val="21"/>
              </w:rPr>
              <w:t>资料详实完善（包括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课程介绍、</w:t>
            </w:r>
            <w:r>
              <w:rPr>
                <w:rFonts w:hint="eastAsia"/>
                <w:kern w:val="0"/>
                <w:szCs w:val="21"/>
              </w:rPr>
              <w:t>课程的标准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、教案或演示文稿、重点难点指导、作业、参考资料目录等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基本教学资料较完善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有基本教学资料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教学相关资料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[20]教学活动资料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教学活动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资料齐备（包括：成绩单、学生作业、教学日志、教学研究资料等）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教学活动资料较完善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有教学活动资料</w:t>
            </w:r>
          </w:p>
        </w:tc>
        <w:tc>
          <w:tcPr>
            <w:tcW w:w="12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教学相关资料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5.2</w:t>
            </w:r>
            <w:r>
              <w:rPr>
                <w:szCs w:val="21"/>
              </w:rPr>
              <w:t>教学特色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[21]</w:t>
            </w:r>
            <w:r>
              <w:rPr>
                <w:szCs w:val="21"/>
              </w:rPr>
              <w:t>教学特色</w:t>
            </w:r>
          </w:p>
        </w:tc>
        <w:tc>
          <w:tcPr>
            <w:tcW w:w="44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通过课程建设，总结形成课程明确、独特的教学特色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有一定的教学特色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教学特色不够明显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相关支撑材料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5.3教学研究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[23]教学研究</w:t>
            </w:r>
          </w:p>
        </w:tc>
        <w:tc>
          <w:tcPr>
            <w:tcW w:w="447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课程组成员开展丰富的教学研究（包括</w:t>
            </w:r>
            <w:r>
              <w:rPr>
                <w:rFonts w:hint="eastAsia" w:ascii="Times New Roman" w:hAnsi="Times New Roman" w:cs="Times New Roman"/>
                <w:szCs w:val="21"/>
              </w:rPr>
              <w:t>发表相关教学研究论文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申请到新的教学研究项目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获得教学研究成果</w:t>
            </w:r>
            <w:r>
              <w:rPr>
                <w:rFonts w:hint="eastAsia"/>
                <w:szCs w:val="21"/>
              </w:rPr>
              <w:t>、参加教学会议、</w:t>
            </w:r>
            <w:r>
              <w:rPr>
                <w:rFonts w:hint="eastAsia" w:ascii="Times New Roman" w:hAnsi="Times New Roman" w:cs="Times New Roman"/>
                <w:szCs w:val="21"/>
              </w:rPr>
              <w:t>指导学生开展相关学习拓展活动</w:t>
            </w:r>
            <w:r>
              <w:rPr>
                <w:rFonts w:hint="eastAsia"/>
                <w:szCs w:val="21"/>
              </w:rPr>
              <w:t>等），内容超过3项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开展教学研究，内容至少</w:t>
            </w:r>
            <w:r>
              <w:rPr>
                <w:rFonts w:hint="eastAsia"/>
                <w:szCs w:val="21"/>
              </w:rPr>
              <w:t>2项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开展了一定的教学研究并有总结报告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相关支撑</w:t>
            </w:r>
            <w:r>
              <w:rPr>
                <w:szCs w:val="21"/>
              </w:rPr>
              <w:t>资料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rPr>
                <w:spacing w:val="8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本标准用于指导和评价通识核心课程建设情况。标准设一级指标5项，二级指标13项，主要观测点23项。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评估结论分为优秀、良好、中等和不及格四个等级，具体认定标准如下：</w:t>
      </w:r>
    </w:p>
    <w:p>
      <w:pPr>
        <w:ind w:firstLine="980" w:firstLineChars="35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优秀</w:t>
      </w:r>
      <w:r>
        <w:rPr>
          <w:rFonts w:ascii="宋体" w:hAnsi="宋体" w:eastAsia="宋体"/>
          <w:sz w:val="28"/>
          <w:szCs w:val="28"/>
        </w:rPr>
        <w:t>：主要观测点A≥</w:t>
      </w:r>
      <w:r>
        <w:rPr>
          <w:rFonts w:hint="eastAsia" w:ascii="宋体" w:hAnsi="宋体" w:eastAsia="宋体"/>
          <w:sz w:val="28"/>
          <w:szCs w:val="28"/>
        </w:rPr>
        <w:t>17、</w:t>
      </w:r>
      <w:r>
        <w:rPr>
          <w:rFonts w:ascii="宋体" w:hAnsi="宋体" w:eastAsia="宋体"/>
          <w:sz w:val="28"/>
          <w:szCs w:val="28"/>
        </w:rPr>
        <w:t>C=0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 xml:space="preserve"> 其中</w:t>
      </w:r>
      <w:r>
        <w:rPr>
          <w:rFonts w:hint="eastAsia" w:ascii="宋体" w:hAnsi="宋体" w:eastAsia="宋体"/>
          <w:sz w:val="28"/>
          <w:szCs w:val="28"/>
        </w:rPr>
        <w:t>观测点[1]、[5] [7] [12] [15] [17] [19] [20]需达到A级</w:t>
      </w:r>
    </w:p>
    <w:p>
      <w:pPr>
        <w:pStyle w:val="7"/>
        <w:ind w:left="360"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良好</w:t>
      </w:r>
      <w:r>
        <w:rPr>
          <w:rFonts w:ascii="宋体" w:hAnsi="宋体" w:eastAsia="宋体"/>
          <w:sz w:val="28"/>
          <w:szCs w:val="28"/>
        </w:rPr>
        <w:t>：主要观测点A≥</w:t>
      </w:r>
      <w:r>
        <w:rPr>
          <w:rFonts w:hint="eastAsia" w:ascii="宋体" w:hAnsi="宋体" w:eastAsia="宋体"/>
          <w:sz w:val="28"/>
          <w:szCs w:val="28"/>
        </w:rPr>
        <w:t>11</w:t>
      </w:r>
      <w:r>
        <w:rPr>
          <w:rFonts w:ascii="宋体" w:hAnsi="宋体" w:eastAsia="宋体"/>
          <w:sz w:val="28"/>
          <w:szCs w:val="28"/>
        </w:rPr>
        <w:t>、C≤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；其中</w:t>
      </w:r>
      <w:r>
        <w:rPr>
          <w:rFonts w:hint="eastAsia" w:ascii="宋体" w:hAnsi="宋体" w:eastAsia="宋体"/>
          <w:sz w:val="28"/>
          <w:szCs w:val="28"/>
        </w:rPr>
        <w:t>观测点 [5] [7] [19] [20]需达到A级</w:t>
      </w:r>
    </w:p>
    <w:p>
      <w:pPr>
        <w:pStyle w:val="7"/>
        <w:ind w:left="360"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中等</w:t>
      </w:r>
      <w:r>
        <w:rPr>
          <w:rFonts w:ascii="宋体" w:hAnsi="宋体" w:eastAsia="宋体"/>
          <w:sz w:val="28"/>
          <w:szCs w:val="28"/>
        </w:rPr>
        <w:t>：主要观测点A≥</w:t>
      </w:r>
      <w:r>
        <w:rPr>
          <w:rFonts w:hint="eastAsia" w:ascii="宋体" w:hAnsi="宋体" w:eastAsia="宋体"/>
          <w:sz w:val="28"/>
          <w:szCs w:val="28"/>
        </w:rPr>
        <w:t>5、</w:t>
      </w:r>
      <w:r>
        <w:rPr>
          <w:rFonts w:ascii="宋体" w:hAnsi="宋体" w:eastAsia="宋体"/>
          <w:sz w:val="28"/>
          <w:szCs w:val="28"/>
        </w:rPr>
        <w:t>C≤</w:t>
      </w:r>
      <w:r>
        <w:rPr>
          <w:rFonts w:hint="eastAsia" w:ascii="宋体" w:hAnsi="宋体" w:eastAsia="宋体"/>
          <w:sz w:val="28"/>
          <w:szCs w:val="28"/>
        </w:rPr>
        <w:t>5；</w:t>
      </w:r>
      <w:r>
        <w:rPr>
          <w:rFonts w:ascii="宋体" w:hAnsi="宋体" w:eastAsia="宋体"/>
          <w:sz w:val="28"/>
          <w:szCs w:val="28"/>
        </w:rPr>
        <w:t>其中</w:t>
      </w:r>
      <w:r>
        <w:rPr>
          <w:rFonts w:hint="eastAsia" w:ascii="宋体" w:hAnsi="宋体" w:eastAsia="宋体"/>
          <w:sz w:val="28"/>
          <w:szCs w:val="28"/>
        </w:rPr>
        <w:t>观测点[1]、[5] [7] [12] [15] [17] [19] [20]需达到B级以上</w:t>
      </w:r>
    </w:p>
    <w:p>
      <w:pPr>
        <w:pStyle w:val="7"/>
        <w:ind w:left="860" w:firstLine="60" w:firstLineChars="0"/>
        <w:jc w:val="left"/>
      </w:pPr>
      <w:r>
        <w:rPr>
          <w:rFonts w:hint="eastAsia" w:ascii="宋体" w:hAnsi="宋体" w:eastAsia="宋体"/>
          <w:sz w:val="28"/>
          <w:szCs w:val="28"/>
        </w:rPr>
        <w:t>不及格</w:t>
      </w:r>
      <w:r>
        <w:rPr>
          <w:rFonts w:ascii="宋体" w:hAnsi="宋体" w:eastAsia="宋体"/>
          <w:sz w:val="28"/>
          <w:szCs w:val="28"/>
        </w:rPr>
        <w:t>：未达到</w:t>
      </w:r>
      <w:r>
        <w:rPr>
          <w:rFonts w:hint="eastAsia" w:ascii="宋体" w:hAnsi="宋体" w:eastAsia="宋体"/>
          <w:sz w:val="28"/>
          <w:szCs w:val="28"/>
        </w:rPr>
        <w:t>中等的课程</w:t>
      </w:r>
      <w:r>
        <w:rPr>
          <w:rFonts w:ascii="宋体" w:hAnsi="宋体" w:eastAsia="宋体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98"/>
    <w:multiLevelType w:val="multilevel"/>
    <w:tmpl w:val="01B073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62F"/>
    <w:rsid w:val="000C47E0"/>
    <w:rsid w:val="00112871"/>
    <w:rsid w:val="00151180"/>
    <w:rsid w:val="002266D2"/>
    <w:rsid w:val="0024762F"/>
    <w:rsid w:val="002A24AA"/>
    <w:rsid w:val="00427287"/>
    <w:rsid w:val="00582ECE"/>
    <w:rsid w:val="005C0BE9"/>
    <w:rsid w:val="006C60E6"/>
    <w:rsid w:val="00794867"/>
    <w:rsid w:val="008D4457"/>
    <w:rsid w:val="00941BCD"/>
    <w:rsid w:val="009F34B8"/>
    <w:rsid w:val="00EC7348"/>
    <w:rsid w:val="00F009D5"/>
    <w:rsid w:val="00F94CBC"/>
    <w:rsid w:val="00FA63E2"/>
    <w:rsid w:val="00FB0C42"/>
    <w:rsid w:val="00FF1291"/>
    <w:rsid w:val="0DE20B22"/>
    <w:rsid w:val="47F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2293</Characters>
  <Lines>19</Lines>
  <Paragraphs>5</Paragraphs>
  <TotalTime>0</TotalTime>
  <ScaleCrop>false</ScaleCrop>
  <LinksUpToDate>false</LinksUpToDate>
  <CharactersWithSpaces>2690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2017-12-29T00:06:00Z</dcterms:created>
  <dc:creator>china</dc:creator>
  <cp:lastModifiedBy>Elsa</cp:lastModifiedBy>
  <dcterms:modified xsi:type="dcterms:W3CDTF">2018-03-29T00:12:43Z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